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header7.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9"/>
      </w:tblGrid>
      <w:tr w:rsidRPr="00B84F9F" w:rsidR="00574C9B" w:rsidTr="008E4CC5">
        <w:trPr>
          <w:jc w:val="center"/>
        </w:trPr>
        <w:tc>
          <w:tcPr>
            <w:tcW w:w="5000" w:type="pct"/>
            <w:vAlign w:val="center"/>
          </w:tcPr>
          <w:p w:rsidRPr="00B84F9F" w:rsidR="00574C9B" w:rsidP="006125A1" w:rsidRDefault="00574C9B">
            <w:pPr>
              <w:jc w:val="center"/>
              <w:rPr>
                <w:b/>
                <w:sz w:val="72"/>
                <w:szCs w:val="72"/>
              </w:rPr>
            </w:pPr>
            <w:r w:rsidRPr="00B84F9F">
              <w:rPr>
                <w:b/>
                <w:sz w:val="72"/>
              </w:rPr>
              <w:t>ΓΝΩΜΟΔΟΤΗΣΗ</w:t>
            </w:r>
          </w:p>
        </w:tc>
      </w:tr>
      <w:tr w:rsidRPr="00B84F9F" w:rsidR="00574C9B" w:rsidTr="008E4CC5">
        <w:trPr>
          <w:trHeight w:val="567"/>
          <w:jc w:val="center"/>
        </w:trPr>
        <w:tc>
          <w:tcPr>
            <w:tcW w:w="5000" w:type="pct"/>
            <w:vAlign w:val="center"/>
          </w:tcPr>
          <w:p w:rsidRPr="00B84F9F" w:rsidR="00574C9B" w:rsidP="006125A1" w:rsidRDefault="00574C9B">
            <w:pPr>
              <w:jc w:val="center"/>
              <w:rPr>
                <w:sz w:val="24"/>
                <w:szCs w:val="24"/>
              </w:rPr>
            </w:pPr>
            <w:r w:rsidRPr="00B84F9F">
              <w:rPr>
                <w:sz w:val="24"/>
              </w:rPr>
              <w:t>Ευρωπαϊκή Οικονομική και Κοινωνική Επιτροπή</w:t>
            </w:r>
          </w:p>
        </w:tc>
      </w:tr>
      <w:tr w:rsidRPr="00B84F9F" w:rsidR="00574C9B" w:rsidTr="008E4CC5">
        <w:trPr>
          <w:jc w:val="center"/>
        </w:trPr>
        <w:tc>
          <w:tcPr>
            <w:tcW w:w="5000" w:type="pct"/>
            <w:vAlign w:val="center"/>
          </w:tcPr>
          <w:p w:rsidRPr="00B84F9F" w:rsidR="00574C9B" w:rsidP="006125A1" w:rsidRDefault="00436694">
            <w:pPr>
              <w:jc w:val="center"/>
              <w:rPr>
                <w:b/>
                <w:sz w:val="44"/>
                <w:szCs w:val="44"/>
              </w:rPr>
            </w:pPr>
            <w:bookmarkStart w:name="_GoBack" w:id="0"/>
            <w:r w:rsidRPr="00B84F9F">
              <w:rPr>
                <w:b/>
                <w:sz w:val="44"/>
              </w:rPr>
              <w:t>Δέσμη μέτρων για την ενίσχυση της δημοκρατίας και του αδιάβλητου των εκλογών</w:t>
            </w:r>
            <w:bookmarkEnd w:id="0"/>
          </w:p>
        </w:tc>
      </w:tr>
      <w:tr w:rsidRPr="00B84F9F" w:rsidR="00574C9B" w:rsidTr="008E4CC5">
        <w:trPr>
          <w:jc w:val="center"/>
        </w:trPr>
        <w:tc>
          <w:tcPr>
            <w:tcW w:w="5000" w:type="pct"/>
            <w:vAlign w:val="center"/>
          </w:tcPr>
          <w:p w:rsidRPr="00B84F9F" w:rsidR="00574C9B" w:rsidP="006125A1" w:rsidRDefault="00574C9B">
            <w:pPr>
              <w:overflowPunct w:val="0"/>
              <w:autoSpaceDE w:val="0"/>
              <w:autoSpaceDN w:val="0"/>
              <w:adjustRightInd w:val="0"/>
              <w:jc w:val="center"/>
              <w:textAlignment w:val="baseline"/>
              <w:rPr>
                <w:b/>
                <w:position w:val="24"/>
                <w:sz w:val="24"/>
                <w:szCs w:val="24"/>
              </w:rPr>
            </w:pPr>
            <w:r w:rsidRPr="00B84F9F">
              <w:rPr>
                <w:sz w:val="24"/>
              </w:rPr>
              <w:t>_____________</w:t>
            </w:r>
          </w:p>
        </w:tc>
      </w:tr>
      <w:tr w:rsidRPr="00B84F9F" w:rsidR="00574C9B" w:rsidTr="008E4CC5">
        <w:trPr>
          <w:jc w:val="center"/>
        </w:trPr>
        <w:tc>
          <w:tcPr>
            <w:tcW w:w="5000" w:type="pct"/>
            <w:vAlign w:val="center"/>
          </w:tcPr>
          <w:p w:rsidRPr="00B84F9F" w:rsidR="00436694" w:rsidP="00436694" w:rsidRDefault="00436694">
            <w:pPr>
              <w:jc w:val="center"/>
              <w:rPr>
                <w:sz w:val="24"/>
                <w:szCs w:val="24"/>
              </w:rPr>
            </w:pPr>
            <w:r w:rsidRPr="00B84F9F">
              <w:rPr>
                <w:sz w:val="24"/>
              </w:rPr>
              <w:t>Πρόταση κανονισμού του Ευρωπαϊκού Κοινοβουλίου και του Συμβουλίου σχετικά με το καθεστώς και τη χρηματοδότηση των ευρωπαϊκών πολιτικών κομμάτων και των ευρωπαϊκών πολιτικών ιδρυμάτων (αναδιατύπωση)</w:t>
            </w:r>
          </w:p>
          <w:p w:rsidRPr="00B84F9F" w:rsidR="00436694" w:rsidP="00436694" w:rsidRDefault="00436694">
            <w:pPr>
              <w:jc w:val="center"/>
              <w:rPr>
                <w:sz w:val="24"/>
                <w:szCs w:val="24"/>
              </w:rPr>
            </w:pPr>
            <w:r w:rsidRPr="00B84F9F">
              <w:rPr>
                <w:sz w:val="24"/>
              </w:rPr>
              <w:t>[COM(2021) 734 final - 2021/0375 (COD)]</w:t>
            </w:r>
          </w:p>
          <w:p w:rsidRPr="00B84F9F" w:rsidR="00436694" w:rsidP="00436694" w:rsidRDefault="00436694">
            <w:pPr>
              <w:jc w:val="center"/>
              <w:rPr>
                <w:sz w:val="24"/>
                <w:szCs w:val="24"/>
              </w:rPr>
            </w:pPr>
          </w:p>
          <w:p w:rsidRPr="00B84F9F" w:rsidR="00436694" w:rsidP="00436694" w:rsidRDefault="00436694">
            <w:pPr>
              <w:jc w:val="center"/>
              <w:rPr>
                <w:sz w:val="24"/>
                <w:szCs w:val="24"/>
              </w:rPr>
            </w:pPr>
            <w:r w:rsidRPr="00B84F9F">
              <w:rPr>
                <w:sz w:val="24"/>
              </w:rPr>
              <w:t>Πρόταση κανονισμού του Ευρωπαϊκού Κοινοβουλίου και του Συμβουλίου σχετικά με τη διαφάνεια και τη στόχευση της πολιτικής διαφήμισης</w:t>
            </w:r>
          </w:p>
          <w:p w:rsidRPr="00B84F9F" w:rsidR="00574C9B" w:rsidP="00436694" w:rsidRDefault="00436694">
            <w:pPr>
              <w:jc w:val="center"/>
              <w:rPr>
                <w:sz w:val="24"/>
                <w:szCs w:val="24"/>
              </w:rPr>
            </w:pPr>
            <w:r w:rsidRPr="00B84F9F">
              <w:rPr>
                <w:sz w:val="24"/>
              </w:rPr>
              <w:t>[COM(2021) 731 final - 2021/0381 (COD)]</w:t>
            </w:r>
          </w:p>
        </w:tc>
      </w:tr>
      <w:tr w:rsidRPr="00B84F9F" w:rsidR="00574C9B" w:rsidTr="008E4CC5">
        <w:trPr>
          <w:jc w:val="center"/>
        </w:trPr>
        <w:tc>
          <w:tcPr>
            <w:tcW w:w="5000" w:type="pct"/>
            <w:vAlign w:val="center"/>
          </w:tcPr>
          <w:p w:rsidRPr="00B84F9F" w:rsidR="00574C9B" w:rsidP="006125A1" w:rsidRDefault="00574C9B">
            <w:pPr>
              <w:jc w:val="center"/>
              <w:rPr>
                <w:sz w:val="24"/>
                <w:szCs w:val="24"/>
              </w:rPr>
            </w:pPr>
          </w:p>
        </w:tc>
      </w:tr>
      <w:tr w:rsidRPr="00B84F9F" w:rsidR="00574C9B" w:rsidTr="008E4CC5">
        <w:trPr>
          <w:jc w:val="center"/>
        </w:trPr>
        <w:tc>
          <w:tcPr>
            <w:tcW w:w="5000" w:type="pct"/>
            <w:vAlign w:val="center"/>
          </w:tcPr>
          <w:p w:rsidRPr="00B84F9F" w:rsidR="00574C9B" w:rsidP="006125A1" w:rsidRDefault="00436694">
            <w:pPr>
              <w:jc w:val="center"/>
              <w:rPr>
                <w:b/>
                <w:sz w:val="24"/>
                <w:szCs w:val="24"/>
              </w:rPr>
            </w:pPr>
            <w:r w:rsidRPr="00B84F9F">
              <w:rPr>
                <w:b/>
                <w:sz w:val="24"/>
              </w:rPr>
              <w:t>SOC/713</w:t>
            </w:r>
          </w:p>
        </w:tc>
      </w:tr>
      <w:tr w:rsidRPr="00B84F9F" w:rsidR="00574C9B" w:rsidTr="008E4CC5">
        <w:trPr>
          <w:jc w:val="center"/>
        </w:trPr>
        <w:tc>
          <w:tcPr>
            <w:tcW w:w="5000" w:type="pct"/>
            <w:vAlign w:val="center"/>
          </w:tcPr>
          <w:p w:rsidRPr="00B84F9F" w:rsidR="00574C9B" w:rsidP="006125A1" w:rsidRDefault="00574C9B">
            <w:pPr>
              <w:jc w:val="center"/>
              <w:rPr>
                <w:sz w:val="24"/>
                <w:szCs w:val="24"/>
              </w:rPr>
            </w:pPr>
          </w:p>
        </w:tc>
      </w:tr>
      <w:tr w:rsidRPr="00B84F9F" w:rsidR="00574C9B" w:rsidTr="008E4CC5">
        <w:trPr>
          <w:jc w:val="center"/>
        </w:trPr>
        <w:tc>
          <w:tcPr>
            <w:tcW w:w="5000" w:type="pct"/>
            <w:vAlign w:val="center"/>
          </w:tcPr>
          <w:p w:rsidRPr="00B84F9F" w:rsidR="00436694" w:rsidP="00436694" w:rsidRDefault="00436694">
            <w:pPr>
              <w:jc w:val="center"/>
              <w:rPr>
                <w:b/>
              </w:rPr>
            </w:pPr>
            <w:r w:rsidRPr="00B84F9F">
              <w:t xml:space="preserve">Εισηγητής: </w:t>
            </w:r>
            <w:r w:rsidRPr="00B84F9F">
              <w:rPr>
                <w:b/>
              </w:rPr>
              <w:t>Andris GOBIŅŠ</w:t>
            </w:r>
          </w:p>
          <w:p w:rsidRPr="00B84F9F" w:rsidR="00574C9B" w:rsidP="00436694" w:rsidRDefault="00436694">
            <w:pPr>
              <w:jc w:val="center"/>
              <w:rPr>
                <w:sz w:val="24"/>
                <w:szCs w:val="24"/>
              </w:rPr>
            </w:pPr>
            <w:r w:rsidRPr="00B84F9F">
              <w:t xml:space="preserve">Συνεισηγητής: </w:t>
            </w:r>
            <w:r w:rsidRPr="00B84F9F">
              <w:rPr>
                <w:b/>
              </w:rPr>
              <w:t>Carlos Manuel TRINDADE</w:t>
            </w:r>
          </w:p>
        </w:tc>
      </w:tr>
    </w:tbl>
    <w:p w:rsidRPr="00B84F9F" w:rsidR="00574C9B" w:rsidP="00574C9B" w:rsidRDefault="00574C9B">
      <w:r w:rsidRPr="00B84F9F">
        <w:rPr>
          <w:sz w:val="20"/>
        </w:rPr>
        <mc:AlternateContent>
          <mc:Choice Requires="wps">
            <w:drawing>
              <wp:anchor distT="0" distB="0" distL="114300" distR="114300" simplePos="0" relativeHeight="251659264" behindDoc="1" locked="0" layoutInCell="0" allowOverlap="1" wp14:editId="44242655" wp14:anchorId="72E7DD5D">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84F9F" w:rsidR="00574C9B" w:rsidP="00574C9B" w:rsidRDefault="00574C9B">
                            <w:pPr>
                              <w:jc w:val="center"/>
                            </w:pPr>
                            <w:r w:rsidRPr="00B84F9F">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2E7DD5D">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i+tw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">
                <v:textbox>
                  <w:txbxContent>
                    <w:p w:rsidRPr="00B84F9F" w:rsidR="00574C9B" w:rsidP="00574C9B" w:rsidRDefault="00574C9B">
                      <w:pPr>
                        <w:jc w:val="center"/>
                      </w:pPr>
                      <w:r w:rsidRPr="00B84F9F">
                        <w:rPr>
                          <w:rFonts w:ascii="Arial" w:hAnsi="Arial"/>
                          <w:b/>
                          <w:sz w:val="48"/>
                        </w:rPr>
                        <w:t>EL</w:t>
                      </w:r>
                    </w:p>
                  </w:txbxContent>
                </v:textbox>
                <w10:wrap anchorx="margin" anchory="page"/>
              </v:shape>
            </w:pict>
          </mc:Fallback>
        </mc:AlternateContent>
      </w:r>
    </w:p>
    <w:p w:rsidRPr="00B84F9F" w:rsidR="00574C9B" w:rsidP="00574C9B" w:rsidRDefault="00574C9B"/>
    <w:p w:rsidRPr="00B84F9F" w:rsidR="00574C9B" w:rsidP="00574C9B" w:rsidRDefault="00574C9B">
      <w:pPr>
        <w:sectPr w:rsidRPr="00B84F9F" w:rsidR="00574C9B" w:rsidSect="00D57CF5">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B84F9F" w:rsidR="00AC5114" w:rsidTr="00E15BF4">
        <w:tc>
          <w:tcPr>
            <w:tcW w:w="3085" w:type="dxa"/>
          </w:tcPr>
          <w:p w:rsidRPr="00B84F9F" w:rsidR="00AC5114" w:rsidP="00E15BF4" w:rsidRDefault="00AC5114">
            <w:pPr>
              <w:autoSpaceDE w:val="0"/>
              <w:autoSpaceDN w:val="0"/>
              <w:jc w:val="left"/>
            </w:pPr>
            <w:r w:rsidRPr="00B84F9F">
              <w:lastRenderedPageBreak/>
              <w:t>Αίτηση γνωμοδότησης</w:t>
            </w:r>
          </w:p>
        </w:tc>
        <w:tc>
          <w:tcPr>
            <w:tcW w:w="6204" w:type="dxa"/>
            <w:vAlign w:val="bottom"/>
          </w:tcPr>
          <w:p w:rsidRPr="00B84F9F" w:rsidR="00436694" w:rsidP="00436694" w:rsidRDefault="00436694">
            <w:pPr>
              <w:jc w:val="left"/>
            </w:pPr>
            <w:r w:rsidRPr="00B84F9F">
              <w:t>Ευρωπαϊκό Κοινοβούλιο, 13/12/2021</w:t>
            </w:r>
          </w:p>
          <w:p w:rsidRPr="00B84F9F" w:rsidR="00AC5114" w:rsidP="00436694" w:rsidRDefault="00436694">
            <w:pPr>
              <w:autoSpaceDE w:val="0"/>
              <w:autoSpaceDN w:val="0"/>
              <w:jc w:val="left"/>
            </w:pPr>
            <w:r w:rsidRPr="00B84F9F">
              <w:t>Συμβούλιο της Ευρωπαϊκής Ένωσης, 15/12/2021 και 21/01/2022</w:t>
            </w:r>
          </w:p>
        </w:tc>
      </w:tr>
      <w:tr w:rsidRPr="00B84F9F" w:rsidR="00AC5114" w:rsidTr="00E15BF4">
        <w:tc>
          <w:tcPr>
            <w:tcW w:w="3085" w:type="dxa"/>
          </w:tcPr>
          <w:p w:rsidRPr="00B84F9F" w:rsidR="00AC5114" w:rsidP="0058411F" w:rsidRDefault="00AC5114">
            <w:pPr>
              <w:autoSpaceDE w:val="0"/>
              <w:autoSpaceDN w:val="0"/>
              <w:jc w:val="left"/>
              <w:rPr>
                <w:szCs w:val="20"/>
              </w:rPr>
            </w:pPr>
            <w:r w:rsidRPr="00B84F9F">
              <w:t>Νομική βάση</w:t>
            </w:r>
          </w:p>
        </w:tc>
        <w:tc>
          <w:tcPr>
            <w:tcW w:w="6204" w:type="dxa"/>
            <w:vAlign w:val="bottom"/>
          </w:tcPr>
          <w:p w:rsidRPr="00B84F9F" w:rsidR="00AC5114" w:rsidP="00436694" w:rsidRDefault="00AC5114">
            <w:pPr>
              <w:autoSpaceDE w:val="0"/>
              <w:autoSpaceDN w:val="0"/>
              <w:jc w:val="left"/>
              <w:rPr>
                <w:szCs w:val="20"/>
              </w:rPr>
            </w:pPr>
            <w:r w:rsidRPr="00B84F9F">
              <w:t>Άρθρα 114 και 304 της Συνθήκης για τη λειτουργία της Ευρωπαϊκής Ένωσης</w:t>
            </w:r>
          </w:p>
        </w:tc>
      </w:tr>
      <w:tr w:rsidRPr="00B84F9F" w:rsidR="00AC5114" w:rsidTr="00E15BF4">
        <w:tc>
          <w:tcPr>
            <w:tcW w:w="3085" w:type="dxa"/>
          </w:tcPr>
          <w:p w:rsidRPr="00B84F9F" w:rsidR="00AC5114" w:rsidP="0058411F" w:rsidRDefault="00AC5114">
            <w:pPr>
              <w:autoSpaceDE w:val="0"/>
              <w:autoSpaceDN w:val="0"/>
              <w:jc w:val="left"/>
            </w:pPr>
            <w:r w:rsidRPr="00B84F9F">
              <w:t>Αρμόδιο όργανο</w:t>
            </w:r>
          </w:p>
        </w:tc>
        <w:tc>
          <w:tcPr>
            <w:tcW w:w="6204" w:type="dxa"/>
            <w:vAlign w:val="bottom"/>
          </w:tcPr>
          <w:p w:rsidRPr="00B84F9F" w:rsidR="00AC5114" w:rsidP="0058411F" w:rsidRDefault="00436694">
            <w:pPr>
              <w:autoSpaceDE w:val="0"/>
              <w:autoSpaceDN w:val="0"/>
              <w:jc w:val="left"/>
            </w:pPr>
            <w:r w:rsidRPr="00B84F9F">
              <w:t>Τμήμα «Απασχόληση, κοινωνικές υποθέσεις, δικαιώματα του πολίτη»</w:t>
            </w:r>
          </w:p>
        </w:tc>
      </w:tr>
      <w:tr w:rsidRPr="00B84F9F" w:rsidR="00AC5114" w:rsidTr="00E15BF4">
        <w:tc>
          <w:tcPr>
            <w:tcW w:w="3085" w:type="dxa"/>
          </w:tcPr>
          <w:p w:rsidRPr="00B84F9F" w:rsidR="00AC5114" w:rsidP="0058411F" w:rsidRDefault="00AC5114">
            <w:pPr>
              <w:autoSpaceDE w:val="0"/>
              <w:autoSpaceDN w:val="0"/>
              <w:jc w:val="left"/>
            </w:pPr>
            <w:r w:rsidRPr="00B84F9F">
              <w:t>Έγκριση από το τμήμα</w:t>
            </w:r>
          </w:p>
        </w:tc>
        <w:tc>
          <w:tcPr>
            <w:tcW w:w="6204" w:type="dxa"/>
            <w:vAlign w:val="bottom"/>
          </w:tcPr>
          <w:p w:rsidRPr="00B84F9F" w:rsidR="00AC5114" w:rsidP="0058411F" w:rsidRDefault="00436694">
            <w:pPr>
              <w:autoSpaceDE w:val="0"/>
              <w:autoSpaceDN w:val="0"/>
              <w:jc w:val="left"/>
            </w:pPr>
            <w:r w:rsidRPr="00B84F9F">
              <w:t>10/02/2022</w:t>
            </w:r>
          </w:p>
        </w:tc>
      </w:tr>
      <w:tr w:rsidRPr="00B84F9F" w:rsidR="0058411F" w:rsidTr="00E15BF4">
        <w:tc>
          <w:tcPr>
            <w:tcW w:w="3085" w:type="dxa"/>
          </w:tcPr>
          <w:p w:rsidRPr="00B84F9F" w:rsidR="0058411F" w:rsidP="0058411F" w:rsidRDefault="0058411F">
            <w:pPr>
              <w:autoSpaceDE w:val="0"/>
              <w:autoSpaceDN w:val="0"/>
              <w:jc w:val="left"/>
            </w:pPr>
            <w:r w:rsidRPr="00B84F9F">
              <w:t>Έγκριση από την Ολομέλεια</w:t>
            </w:r>
          </w:p>
        </w:tc>
        <w:tc>
          <w:tcPr>
            <w:tcW w:w="6204" w:type="dxa"/>
            <w:vAlign w:val="bottom"/>
          </w:tcPr>
          <w:p w:rsidRPr="00B84F9F" w:rsidR="0058411F" w:rsidP="0058411F" w:rsidRDefault="00436694">
            <w:pPr>
              <w:autoSpaceDE w:val="0"/>
              <w:autoSpaceDN w:val="0"/>
              <w:jc w:val="left"/>
            </w:pPr>
            <w:r w:rsidRPr="00B84F9F">
              <w:t>23/02/2022</w:t>
            </w:r>
          </w:p>
        </w:tc>
      </w:tr>
      <w:tr w:rsidRPr="00B84F9F" w:rsidR="0058411F" w:rsidTr="00E15BF4">
        <w:tc>
          <w:tcPr>
            <w:tcW w:w="3085" w:type="dxa"/>
          </w:tcPr>
          <w:p w:rsidRPr="00B84F9F" w:rsidR="0058411F" w:rsidP="0058411F" w:rsidRDefault="0058411F">
            <w:pPr>
              <w:autoSpaceDE w:val="0"/>
              <w:autoSpaceDN w:val="0"/>
              <w:jc w:val="left"/>
            </w:pPr>
            <w:r w:rsidRPr="00B84F9F">
              <w:t>Σύνοδος ολομέλειας αριθ.</w:t>
            </w:r>
          </w:p>
        </w:tc>
        <w:tc>
          <w:tcPr>
            <w:tcW w:w="6204" w:type="dxa"/>
            <w:vAlign w:val="bottom"/>
          </w:tcPr>
          <w:p w:rsidRPr="00B84F9F" w:rsidR="0058411F" w:rsidP="0058411F" w:rsidRDefault="00834768">
            <w:pPr>
              <w:autoSpaceDE w:val="0"/>
              <w:autoSpaceDN w:val="0"/>
              <w:jc w:val="left"/>
            </w:pPr>
            <w:r w:rsidRPr="00B84F9F">
              <w:t>567</w:t>
            </w:r>
          </w:p>
        </w:tc>
      </w:tr>
      <w:tr w:rsidRPr="00B84F9F" w:rsidR="0058411F" w:rsidTr="00E15BF4">
        <w:tc>
          <w:tcPr>
            <w:tcW w:w="3085" w:type="dxa"/>
          </w:tcPr>
          <w:p w:rsidRPr="00B84F9F" w:rsidR="0058411F" w:rsidP="0058411F" w:rsidRDefault="0058411F">
            <w:pPr>
              <w:autoSpaceDE w:val="0"/>
              <w:autoSpaceDN w:val="0"/>
              <w:jc w:val="left"/>
            </w:pPr>
            <w:r w:rsidRPr="00B84F9F">
              <w:t>Αποτέλεσμα της ψηφοφορίας</w:t>
            </w:r>
            <w:r w:rsidRPr="00B84F9F">
              <w:br/>
              <w:t>(υπέρ/κατά/αποχές)</w:t>
            </w:r>
          </w:p>
        </w:tc>
        <w:tc>
          <w:tcPr>
            <w:tcW w:w="6204" w:type="dxa"/>
            <w:vAlign w:val="bottom"/>
          </w:tcPr>
          <w:p w:rsidRPr="00B84F9F" w:rsidR="0058411F" w:rsidP="0058411F" w:rsidRDefault="009F0CBC">
            <w:pPr>
              <w:autoSpaceDE w:val="0"/>
              <w:autoSpaceDN w:val="0"/>
              <w:jc w:val="left"/>
            </w:pPr>
            <w:r w:rsidRPr="00B84F9F">
              <w:t>222/4/5</w:t>
            </w:r>
          </w:p>
        </w:tc>
      </w:tr>
    </w:tbl>
    <w:p w:rsidRPr="00B84F9F" w:rsidR="00AC5114" w:rsidP="00574C9B" w:rsidRDefault="00AC5114"/>
    <w:p w:rsidRPr="00B84F9F" w:rsidR="00AC5114" w:rsidP="00574C9B" w:rsidRDefault="00AC5114">
      <w:pPr>
        <w:sectPr w:rsidRPr="00B84F9F" w:rsidR="00AC5114" w:rsidSect="00653E7D">
          <w:headerReference w:type="even" r:id="rId14"/>
          <w:headerReference w:type="default" r:id="rId15"/>
          <w:footerReference w:type="default" r:id="rId16"/>
          <w:headerReference w:type="first" r:id="rId17"/>
          <w:pgSz w:w="11907" w:h="16839" w:code="9"/>
          <w:pgMar w:top="5670" w:right="1418" w:bottom="1418" w:left="1418" w:header="709" w:footer="709" w:gutter="0"/>
          <w:cols w:space="720"/>
          <w:docGrid w:linePitch="360"/>
        </w:sectPr>
      </w:pPr>
    </w:p>
    <w:p w:rsidRPr="00B84F9F" w:rsidR="00A41E5F" w:rsidP="00A41E5F" w:rsidRDefault="00A41E5F">
      <w:pPr>
        <w:pStyle w:val="Heading1"/>
        <w:keepNext/>
        <w:rPr>
          <w:b/>
        </w:rPr>
      </w:pPr>
      <w:r w:rsidRPr="00B84F9F">
        <w:rPr>
          <w:b/>
        </w:rPr>
        <w:lastRenderedPageBreak/>
        <w:t>Συμπεράσματα και συστάσεις</w:t>
      </w:r>
    </w:p>
    <w:p w:rsidRPr="00B84F9F" w:rsidR="00A41E5F" w:rsidP="00A41E5F" w:rsidRDefault="00A41E5F">
      <w:pPr>
        <w:keepNext/>
      </w:pPr>
    </w:p>
    <w:p w:rsidRPr="00B84F9F" w:rsidR="00A41E5F" w:rsidP="00A41E5F" w:rsidRDefault="00A41E5F">
      <w:pPr>
        <w:pStyle w:val="Heading2"/>
      </w:pPr>
      <w:r w:rsidRPr="00B84F9F">
        <w:t xml:space="preserve">Η ΕΟΚΕ επικροτεί τους στόχους και τα κίνητρα της δέσμης μέτρων για τις ευρωπαϊκές εκλογές. Έχοντας επίγνωση των σημαντικών προκλήσεων και κινδύνων για τις δημοκρατικές διαδικασίες, η ΕΟΚΕ προτείνει να καταστούν οι κανονισμοί πιο φιλόδοξοι και να τεθούν σε εφαρμογή το συντομότερο δυνατόν. </w:t>
      </w:r>
    </w:p>
    <w:p w:rsidRPr="00B84F9F" w:rsidR="00A41E5F" w:rsidP="00A41E5F" w:rsidRDefault="00A41E5F">
      <w:pPr>
        <w:keepNext/>
      </w:pPr>
    </w:p>
    <w:p w:rsidRPr="00B84F9F" w:rsidR="00A41E5F" w:rsidP="00A41E5F" w:rsidRDefault="00A41E5F">
      <w:pPr>
        <w:pStyle w:val="Heading2"/>
      </w:pPr>
      <w:r w:rsidRPr="00B84F9F">
        <w:t xml:space="preserve">Η διευκόλυνση και η προώθηση της συνειδητής συμμετοχής των πολιτών στα πολιτικά δρώμενα είναι εξίσου ζωτικής σημασίας με τη διασφάλιση διαφανών, προσβάσιμων και έντιμων πολιτικών δραστηριοτήτων, καθώς και σαφούς και ενεργού ρόλου για την κοινωνία των πολιτών. Στην παρούσα γνωμοδότηση προτείνονται διάφορες τροποποιήσεις των κανονισμών, καθώς και ορισμένες πρόσθετες δράσεις επί του θέματος. </w:t>
      </w:r>
    </w:p>
    <w:p w:rsidRPr="00B84F9F" w:rsidR="00A41E5F" w:rsidP="00A41E5F" w:rsidRDefault="00A41E5F">
      <w:pPr>
        <w:keepNext/>
      </w:pPr>
    </w:p>
    <w:p w:rsidRPr="00B84F9F" w:rsidR="00A41E5F" w:rsidP="00A41E5F" w:rsidRDefault="00A41E5F">
      <w:pPr>
        <w:pStyle w:val="Heading2"/>
      </w:pPr>
      <w:r w:rsidRPr="00B84F9F">
        <w:t>Η ΕΟΚΕ τάσσεται υπέρ της συμπερίληψης στη δέσμη μέτρων για τις εκλογές όλων των πτυχών που σχετίζονται με τις πολιτικές εκστρατείες. Απαιτείται μεγαλύτερη εστίαση στην καταπολέμηση της παραπληροφόρησης διότι αυτή έχει αυξανόμενο αντίκτυπο στις εκλογές και στη διαφάνεια. Η επαλήθευση των γεγονότων και ο γραμματισμός στα μέσα επικοινωνίας δεν αρκούν για την αντιμετώπιση ούτε του προβλήματος της έκθεσης των πολιτών σε διχαστικό και παραπλανητικό περιεχόμενο ούτε των πρωταρχικών αιτίων που καθιστούν το εν λόγω περιεχόμενο ελκυστικό για ορισμένους πολίτες.</w:t>
      </w:r>
    </w:p>
    <w:p w:rsidRPr="00B84F9F" w:rsidR="00A41E5F" w:rsidP="00A41E5F" w:rsidRDefault="00A41E5F"/>
    <w:p w:rsidRPr="00B84F9F" w:rsidR="00A41E5F" w:rsidP="00A41E5F" w:rsidRDefault="00A41E5F">
      <w:pPr>
        <w:pStyle w:val="Heading2"/>
        <w:rPr>
          <w:b/>
        </w:rPr>
      </w:pPr>
      <w:r w:rsidRPr="00B84F9F">
        <w:rPr>
          <w:b/>
        </w:rPr>
        <w:t>Όσον αφορά τη διαφάνεια και τη στόχευση της πολιτικής διαφήμισης, η ΕΟΚΕ διατυπώνει συγκεκριμένες προτάσεις βελτίωσης (βλέπε σημείο 3.1.):</w:t>
      </w:r>
    </w:p>
    <w:p w:rsidRPr="00B84F9F" w:rsidR="00A41E5F" w:rsidP="00A41E5F" w:rsidRDefault="00A41E5F">
      <w:pPr>
        <w:ind w:left="1134" w:hanging="283"/>
      </w:pPr>
    </w:p>
    <w:p w:rsidRPr="00B84F9F" w:rsidR="00A41E5F" w:rsidP="00A41E5F" w:rsidRDefault="00A41E5F">
      <w:pPr>
        <w:pStyle w:val="Heading3"/>
        <w:numPr>
          <w:ilvl w:val="2"/>
          <w:numId w:val="5"/>
        </w:numPr>
        <w:ind w:left="1134" w:hanging="283"/>
      </w:pPr>
      <w:r w:rsidRPr="00B84F9F">
        <w:t>χρήση ευρέος αλλά σαφούς ορισμού της πολιτικής διαφήμισης ο οποίος να βαίνει πέραν των επισήμως αμειβόμενων δραστηριοτήτων, συμπεριλαμβανομένων των επιπτώσεων μέσω των λεγόμενων «μποτ» και «τρολ» και/ή των πληροφοριών χειραγώγησης·</w:t>
      </w:r>
    </w:p>
    <w:p w:rsidRPr="00B84F9F" w:rsidR="00A41E5F" w:rsidP="00A41E5F" w:rsidRDefault="00A41E5F">
      <w:pPr>
        <w:pStyle w:val="Heading3"/>
        <w:numPr>
          <w:ilvl w:val="2"/>
          <w:numId w:val="5"/>
        </w:numPr>
        <w:ind w:left="1134" w:hanging="283"/>
      </w:pPr>
      <w:r w:rsidRPr="00B84F9F">
        <w:t>διεύρυνση του πεδίου των κυρώσεων σε περίπτωση παρατυπιών·</w:t>
      </w:r>
    </w:p>
    <w:p w:rsidRPr="00B84F9F" w:rsidR="00A41E5F" w:rsidP="00A41E5F" w:rsidRDefault="00A41E5F">
      <w:pPr>
        <w:pStyle w:val="Heading3"/>
        <w:numPr>
          <w:ilvl w:val="2"/>
          <w:numId w:val="5"/>
        </w:numPr>
        <w:ind w:left="1134" w:hanging="283"/>
      </w:pPr>
      <w:r w:rsidRPr="00B84F9F">
        <w:t>επέκταση της νομικής βάσης προκειμένου να καλύπτει όλα τα νομικά και φυσικά πρόσωπα·</w:t>
      </w:r>
    </w:p>
    <w:p w:rsidRPr="00B84F9F" w:rsidR="00A41E5F" w:rsidP="00A41E5F" w:rsidRDefault="00A41E5F">
      <w:pPr>
        <w:pStyle w:val="Heading3"/>
        <w:numPr>
          <w:ilvl w:val="2"/>
          <w:numId w:val="5"/>
        </w:numPr>
        <w:ind w:left="1134" w:hanging="283"/>
      </w:pPr>
      <w:r w:rsidRPr="00B84F9F">
        <w:t>περιορισμός των δυνατοτήτων άσκησης επιρροής από παράγοντες εκτός ΕΕ·</w:t>
      </w:r>
    </w:p>
    <w:p w:rsidRPr="00B84F9F" w:rsidR="00A41E5F" w:rsidP="00A41E5F" w:rsidRDefault="00A41E5F">
      <w:pPr>
        <w:pStyle w:val="Heading3"/>
        <w:numPr>
          <w:ilvl w:val="2"/>
          <w:numId w:val="5"/>
        </w:numPr>
        <w:ind w:left="1134" w:hanging="283"/>
      </w:pPr>
      <w:r w:rsidRPr="00B84F9F">
        <w:t>παροχή άμεσα ευδιάκριτων πληροφοριών (όχι συνδέσμων) σχετικά με καίρια ζητήματα διαφάνειας·</w:t>
      </w:r>
    </w:p>
    <w:p w:rsidRPr="00B84F9F" w:rsidR="00A41E5F" w:rsidP="00A41E5F" w:rsidRDefault="00A41E5F">
      <w:pPr>
        <w:pStyle w:val="Heading3"/>
        <w:numPr>
          <w:ilvl w:val="2"/>
          <w:numId w:val="5"/>
        </w:numPr>
        <w:ind w:left="1134" w:hanging="283"/>
      </w:pPr>
      <w:r w:rsidRPr="00B84F9F">
        <w:t>επιδίωξη να καθίστανται οι πληροφορίες διαθέσιμες και διαφανείς·</w:t>
      </w:r>
    </w:p>
    <w:p w:rsidRPr="00B84F9F" w:rsidR="00A41E5F" w:rsidP="00A41E5F" w:rsidRDefault="00A41E5F">
      <w:pPr>
        <w:pStyle w:val="Heading3"/>
        <w:numPr>
          <w:ilvl w:val="2"/>
          <w:numId w:val="5"/>
        </w:numPr>
        <w:ind w:left="1134" w:hanging="283"/>
      </w:pPr>
      <w:r w:rsidRPr="00B84F9F">
        <w:t>εφαρμογή των ίδιων κανόνων για όλους·</w:t>
      </w:r>
    </w:p>
    <w:p w:rsidRPr="00B84F9F" w:rsidR="00A41E5F" w:rsidP="00A41E5F" w:rsidRDefault="00A41E5F">
      <w:pPr>
        <w:pStyle w:val="Heading3"/>
        <w:numPr>
          <w:ilvl w:val="2"/>
          <w:numId w:val="5"/>
        </w:numPr>
        <w:ind w:left="1134" w:hanging="283"/>
      </w:pPr>
      <w:r w:rsidRPr="00B84F9F">
        <w:t>πρόβλεψη δυνατότητας απευθείας καταγγελίας στις αρμόδιες εθνικές αρχές και όχι μόνο στη σχετική διαδικτυακή πλατφόρμα·</w:t>
      </w:r>
    </w:p>
    <w:p w:rsidRPr="00B84F9F" w:rsidR="00A41E5F" w:rsidP="00A41E5F" w:rsidRDefault="00A41E5F">
      <w:pPr>
        <w:pStyle w:val="Heading3"/>
        <w:numPr>
          <w:ilvl w:val="2"/>
          <w:numId w:val="5"/>
        </w:numPr>
        <w:ind w:left="1134" w:hanging="283"/>
      </w:pPr>
      <w:r w:rsidRPr="00B84F9F">
        <w:t>μέριμνα για πληροφορίες προσβάσιμες σε κάθε πολίτη χωρίς περιορισμούς·</w:t>
      </w:r>
    </w:p>
    <w:p w:rsidRPr="00B84F9F" w:rsidR="00A41E5F" w:rsidP="00A41E5F" w:rsidRDefault="00A41E5F">
      <w:pPr>
        <w:pStyle w:val="Heading3"/>
        <w:numPr>
          <w:ilvl w:val="2"/>
          <w:numId w:val="5"/>
        </w:numPr>
        <w:ind w:left="1134" w:hanging="283"/>
      </w:pPr>
      <w:r w:rsidRPr="00B84F9F">
        <w:t>απαγόρευση της στοχευμένης πολιτικής διαφήμισης που βασίζεται σε εκτεταμένη και συστηματική παρακολούθηση και επεξεργασία πληροφοριών σχετικά με τη συμπεριφορά ενός ατόμου εντός ή εκτός διαδικτύου·</w:t>
      </w:r>
    </w:p>
    <w:p w:rsidRPr="00B84F9F" w:rsidR="00A41E5F" w:rsidP="00A41E5F" w:rsidRDefault="00A41E5F">
      <w:pPr>
        <w:pStyle w:val="Heading3"/>
        <w:numPr>
          <w:ilvl w:val="2"/>
          <w:numId w:val="5"/>
        </w:numPr>
        <w:ind w:left="1134" w:hanging="283"/>
      </w:pPr>
      <w:r w:rsidRPr="00B84F9F">
        <w:t>περιορισμός ή εξάλειψη της χρήσης τεχνικών στόχευσης και ενίσχυσης στο πλαίσιο της πολιτικής διαφήμισης που περιλαμβάνουν την επεξεργασία δεδομένων προσωπικού χαρακτήρα, λόγω κινδύνων σχετικών με την περιορισμένη συγκατάθεση·</w:t>
      </w:r>
    </w:p>
    <w:p w:rsidRPr="00B84F9F" w:rsidR="00A41E5F" w:rsidP="00A41E5F" w:rsidRDefault="00A41E5F">
      <w:pPr>
        <w:pStyle w:val="Heading3"/>
        <w:numPr>
          <w:ilvl w:val="2"/>
          <w:numId w:val="5"/>
        </w:numPr>
        <w:ind w:left="1134" w:hanging="283"/>
      </w:pPr>
      <w:r w:rsidRPr="00B84F9F">
        <w:t>πλήρης απαγόρευση της στόχευσης βάσει ειδικών κατηγοριών ευαίσθητων δεδομένων προσωπικού χαρακτήρα·</w:t>
      </w:r>
    </w:p>
    <w:p w:rsidRPr="00B84F9F" w:rsidR="00A41E5F" w:rsidP="00A41E5F" w:rsidRDefault="00A41E5F">
      <w:pPr>
        <w:pStyle w:val="Heading3"/>
        <w:numPr>
          <w:ilvl w:val="2"/>
          <w:numId w:val="5"/>
        </w:numPr>
        <w:ind w:left="1134" w:hanging="283"/>
      </w:pPr>
      <w:r w:rsidRPr="00B84F9F">
        <w:t>εξασφάλιση πλήρους διαφάνειας όσον αφορά τις τεχνικές στόχευσης, ακόμη και όταν δεν έχουν άμεση σχέση με συγκεκριμένη εκστρατεία·</w:t>
      </w:r>
    </w:p>
    <w:p w:rsidRPr="00B84F9F" w:rsidR="00A41E5F" w:rsidP="00A41E5F" w:rsidRDefault="00A41E5F">
      <w:pPr>
        <w:pStyle w:val="ListParagraph"/>
        <w:numPr>
          <w:ilvl w:val="2"/>
          <w:numId w:val="5"/>
        </w:numPr>
        <w:ind w:left="1134" w:hanging="283"/>
      </w:pPr>
      <w:r w:rsidRPr="00B84F9F">
        <w:t>δυνητική θέσπιση ειδικών ρυθμίσεων για χώρες στις οποίες η ανεξαρτησία των δημόσιων μέσων ενημέρωσης δεν διασφαλίζεται δεόντως.</w:t>
      </w:r>
    </w:p>
    <w:p w:rsidRPr="00B84F9F" w:rsidR="00A41E5F" w:rsidP="00A41E5F" w:rsidRDefault="00A41E5F"/>
    <w:p w:rsidRPr="00B84F9F" w:rsidR="00A41E5F" w:rsidP="00A41E5F" w:rsidRDefault="00A41E5F">
      <w:pPr>
        <w:pStyle w:val="Heading2"/>
        <w:keepNext/>
        <w:keepLines/>
        <w:rPr>
          <w:b/>
        </w:rPr>
      </w:pPr>
      <w:r w:rsidRPr="00B84F9F">
        <w:rPr>
          <w:b/>
        </w:rPr>
        <w:t>Σχετικά με το καθεστώς και τη χρηματοδότηση των ευρωπαϊκών πολιτικών κομμάτων και των ευρωπαϊκών πολιτικών ιδρυμάτων (αναδιατύπωση), η ΕΟΚΕ διατυπώνει συγκεκριμένες προτάσεις (βλέπε σημείο 3.2.)</w:t>
      </w:r>
    </w:p>
    <w:p w:rsidRPr="00B84F9F" w:rsidR="00A41E5F" w:rsidP="00A41E5F" w:rsidRDefault="00A41E5F">
      <w:pPr>
        <w:keepNext/>
        <w:keepLines/>
        <w:ind w:left="1134" w:hanging="283"/>
      </w:pPr>
    </w:p>
    <w:p w:rsidRPr="00B84F9F" w:rsidR="00A41E5F" w:rsidP="00A41E5F" w:rsidRDefault="00A41E5F">
      <w:pPr>
        <w:pStyle w:val="ListParagraph"/>
        <w:keepNext/>
        <w:keepLines/>
        <w:numPr>
          <w:ilvl w:val="0"/>
          <w:numId w:val="6"/>
        </w:numPr>
        <w:ind w:left="1134" w:hanging="283"/>
      </w:pPr>
      <w:r w:rsidRPr="00B84F9F">
        <w:t>ενίσχυση των προτύπων σχετικά με την ισόρροπη εκπροσώπηση των φύλων·</w:t>
      </w:r>
    </w:p>
    <w:p w:rsidRPr="00B84F9F" w:rsidR="00A41E5F" w:rsidP="00A41E5F" w:rsidRDefault="00A41E5F">
      <w:pPr>
        <w:pStyle w:val="ListParagraph"/>
        <w:numPr>
          <w:ilvl w:val="0"/>
          <w:numId w:val="6"/>
        </w:numPr>
        <w:ind w:left="1134" w:hanging="283"/>
      </w:pPr>
      <w:r w:rsidRPr="00B84F9F">
        <w:t>καταπολέμηση των διακρίσεων και προαγωγή των ανθρωπίνων δικαιωμάτων·</w:t>
      </w:r>
    </w:p>
    <w:p w:rsidRPr="00B84F9F" w:rsidR="00A41E5F" w:rsidP="00A41E5F" w:rsidRDefault="00A41E5F">
      <w:pPr>
        <w:pStyle w:val="ListParagraph"/>
        <w:numPr>
          <w:ilvl w:val="0"/>
          <w:numId w:val="6"/>
        </w:numPr>
        <w:ind w:left="1134" w:hanging="283"/>
      </w:pPr>
      <w:r w:rsidRPr="00B84F9F">
        <w:t>περιορισμός των δωρεών προς πολιτικά κόμματα χωρών εκτός της ΕΕ·</w:t>
      </w:r>
    </w:p>
    <w:p w:rsidRPr="00B84F9F" w:rsidR="00A41E5F" w:rsidP="00A41E5F" w:rsidRDefault="00A41E5F">
      <w:pPr>
        <w:pStyle w:val="ListParagraph"/>
        <w:numPr>
          <w:ilvl w:val="0"/>
          <w:numId w:val="6"/>
        </w:numPr>
        <w:ind w:left="1134" w:hanging="283"/>
      </w:pPr>
      <w:r w:rsidRPr="00B84F9F">
        <w:t>καθορισμός ενός καθολικού ανώτατου ορίου για τις δωρεές πολιτών ύψους 18 000 EUR ανά έτος·</w:t>
      </w:r>
    </w:p>
    <w:p w:rsidRPr="00B84F9F" w:rsidR="00A41E5F" w:rsidP="00A41E5F" w:rsidRDefault="00A41E5F">
      <w:pPr>
        <w:pStyle w:val="ListParagraph"/>
        <w:numPr>
          <w:ilvl w:val="0"/>
          <w:numId w:val="6"/>
        </w:numPr>
        <w:ind w:left="1134" w:hanging="283"/>
      </w:pPr>
      <w:r w:rsidRPr="00B84F9F">
        <w:t>κανονιστική ρύθμιση των εξωτερικών παρόχων υπηρεσιών·</w:t>
      </w:r>
    </w:p>
    <w:p w:rsidRPr="00B84F9F" w:rsidR="00A41E5F" w:rsidP="00A41E5F" w:rsidRDefault="00A41E5F">
      <w:pPr>
        <w:pStyle w:val="ListParagraph"/>
        <w:numPr>
          <w:ilvl w:val="0"/>
          <w:numId w:val="6"/>
        </w:numPr>
        <w:ind w:left="1134" w:hanging="283"/>
      </w:pPr>
      <w:r w:rsidRPr="00B84F9F">
        <w:t>περιορισμός της συμμετοχής των κομμάτων της ΕΕ σε εθνικές εκστρατείες για δημοψηφίσματα·</w:t>
      </w:r>
    </w:p>
    <w:p w:rsidRPr="00B84F9F" w:rsidR="00A41E5F" w:rsidP="00A41E5F" w:rsidRDefault="00A41E5F">
      <w:pPr>
        <w:pStyle w:val="ListParagraph"/>
        <w:numPr>
          <w:ilvl w:val="0"/>
          <w:numId w:val="6"/>
        </w:numPr>
        <w:ind w:left="1134" w:hanging="283"/>
      </w:pPr>
      <w:r w:rsidRPr="00B84F9F">
        <w:t>μείωση του ανώτατου ορίου των ανώνυμων δωρεών σε 1 000 EUR·</w:t>
      </w:r>
    </w:p>
    <w:p w:rsidRPr="00B84F9F" w:rsidR="00A41E5F" w:rsidP="00A41E5F" w:rsidRDefault="00A41E5F">
      <w:pPr>
        <w:pStyle w:val="ListParagraph"/>
        <w:numPr>
          <w:ilvl w:val="0"/>
          <w:numId w:val="6"/>
        </w:numPr>
        <w:ind w:left="1134" w:hanging="283"/>
      </w:pPr>
      <w:r w:rsidRPr="00B84F9F">
        <w:t>συνέχιση του συστήματος συγχρηματοδότησης για τα ευρωπαϊκά πολιτικά κόμματα.</w:t>
      </w:r>
    </w:p>
    <w:p w:rsidRPr="00B84F9F" w:rsidR="00A41E5F" w:rsidP="00A41E5F" w:rsidRDefault="00A41E5F"/>
    <w:p w:rsidRPr="00B84F9F" w:rsidR="00A41E5F" w:rsidP="00A41E5F" w:rsidRDefault="00A41E5F">
      <w:pPr>
        <w:pStyle w:val="Heading2"/>
        <w:rPr>
          <w:b/>
        </w:rPr>
      </w:pPr>
      <w:r w:rsidRPr="00B84F9F">
        <w:rPr>
          <w:b/>
        </w:rPr>
        <w:t>Σχετικά με την ανθεκτικότητα και την ενίσχυση του ρόλου της κοινωνίας των πολιτών στις εκλογικές διαδικασίες (που αναπτύσσεται στο σημείο 3.3.):</w:t>
      </w:r>
    </w:p>
    <w:p w:rsidRPr="00B84F9F" w:rsidR="00A41E5F" w:rsidP="00A41E5F" w:rsidRDefault="00A41E5F">
      <w:pPr>
        <w:ind w:left="1134" w:hanging="283"/>
      </w:pPr>
    </w:p>
    <w:p w:rsidRPr="00B84F9F" w:rsidR="00A41E5F" w:rsidP="00A41E5F" w:rsidRDefault="00A41E5F">
      <w:pPr>
        <w:pStyle w:val="ListParagraph"/>
        <w:numPr>
          <w:ilvl w:val="0"/>
          <w:numId w:val="7"/>
        </w:numPr>
        <w:ind w:left="1134" w:hanging="283"/>
      </w:pPr>
      <w:r w:rsidRPr="00B84F9F">
        <w:t>παροχή στους πολίτες ουσιαστικού λόγου στη διαμόρφωση του μέλλοντος της ΕΕ πέραν και/ή μεταξύ των εκλογών·</w:t>
      </w:r>
    </w:p>
    <w:p w:rsidRPr="00B84F9F" w:rsidR="00A41E5F" w:rsidP="00A41E5F" w:rsidRDefault="00A41E5F">
      <w:pPr>
        <w:pStyle w:val="ListParagraph"/>
        <w:numPr>
          <w:ilvl w:val="0"/>
          <w:numId w:val="7"/>
        </w:numPr>
        <w:ind w:left="1134" w:hanging="283"/>
      </w:pPr>
      <w:r w:rsidRPr="00B84F9F">
        <w:t>διοργάνωση ετήσιας εκδήλωσης για την ανταλλαγή βέλτιστων πρακτικών και την κατάρτιση ετήσιου σχεδίου με στόχο την ενίσχυση της δημοκρατίας, της συμμετοχής και του διαλόγου με τους πολίτες και την εφαρμογή του άρθρου 11 της ΣΕΕ·</w:t>
      </w:r>
    </w:p>
    <w:p w:rsidRPr="00B84F9F" w:rsidR="00A41E5F" w:rsidP="00A41E5F" w:rsidRDefault="00A41E5F">
      <w:pPr>
        <w:pStyle w:val="ListParagraph"/>
        <w:numPr>
          <w:ilvl w:val="0"/>
          <w:numId w:val="7"/>
        </w:numPr>
        <w:ind w:left="1134" w:hanging="283"/>
      </w:pPr>
      <w:r w:rsidRPr="00B84F9F">
        <w:t xml:space="preserve">θέσπιση χρηματοδοτικού μέσου για τη διεξαγωγή αμερόληπτων και χωρίς αποκλεισμούς εκστρατειών με σύνθημα «όλοι στις κάλπες»· </w:t>
      </w:r>
    </w:p>
    <w:p w:rsidRPr="00B84F9F" w:rsidR="00A41E5F" w:rsidP="00A41E5F" w:rsidRDefault="00A41E5F">
      <w:pPr>
        <w:pStyle w:val="ListParagraph"/>
        <w:numPr>
          <w:ilvl w:val="0"/>
          <w:numId w:val="7"/>
        </w:numPr>
        <w:ind w:left="1134" w:hanging="283"/>
      </w:pPr>
      <w:r w:rsidRPr="00B84F9F">
        <w:t xml:space="preserve">κατάρτιση προγράμματος χρηματοδότησης με αποδέκτες δημοσιογράφους, ερευνητές, ελεγκτές γεγονότων και οργανώσεις παρατήρησης και ελέγχου· </w:t>
      </w:r>
    </w:p>
    <w:p w:rsidRPr="00B84F9F" w:rsidR="00A41E5F" w:rsidP="00A41E5F" w:rsidRDefault="00A41E5F">
      <w:pPr>
        <w:pStyle w:val="ListParagraph"/>
        <w:numPr>
          <w:ilvl w:val="0"/>
          <w:numId w:val="7"/>
        </w:numPr>
        <w:ind w:left="1134" w:hanging="283"/>
      </w:pPr>
      <w:r w:rsidRPr="00B84F9F">
        <w:t>υποστήριξη της συνεργασίας μεταξύ εμπειρογνωμόνων και των εργασιών για τη χρηματοδότηση εκστρατειών, τη διαδικτυακή εγκληματολογία, την καταπολέμηση της παραπληροφόρησης και την κυβερνοασφάλεια·</w:t>
      </w:r>
    </w:p>
    <w:p w:rsidRPr="00B84F9F" w:rsidR="00A41E5F" w:rsidP="00A41E5F" w:rsidRDefault="00A41E5F">
      <w:pPr>
        <w:pStyle w:val="ListParagraph"/>
        <w:numPr>
          <w:ilvl w:val="0"/>
          <w:numId w:val="7"/>
        </w:numPr>
        <w:ind w:left="1134" w:hanging="283"/>
      </w:pPr>
      <w:r w:rsidRPr="00B84F9F">
        <w:t xml:space="preserve">άρση των εναπομεινάντων εμποδίων και διασφάλιση της συμμετοχής χωρίς αποκλεισμούς στις εκλογές· </w:t>
      </w:r>
    </w:p>
    <w:p w:rsidRPr="00B84F9F" w:rsidR="00A41E5F" w:rsidP="00A41E5F" w:rsidRDefault="00A41E5F">
      <w:pPr>
        <w:pStyle w:val="ListParagraph"/>
        <w:numPr>
          <w:ilvl w:val="0"/>
          <w:numId w:val="7"/>
        </w:numPr>
        <w:ind w:left="1134" w:hanging="283"/>
      </w:pPr>
      <w:r w:rsidRPr="00B84F9F">
        <w:t>στήριξη των μετακινούμενων πολιτών·</w:t>
      </w:r>
    </w:p>
    <w:p w:rsidRPr="00B84F9F" w:rsidR="00A41E5F" w:rsidP="00A41E5F" w:rsidRDefault="00A41E5F">
      <w:pPr>
        <w:pStyle w:val="ListParagraph"/>
        <w:numPr>
          <w:ilvl w:val="0"/>
          <w:numId w:val="7"/>
        </w:numPr>
        <w:ind w:left="1134" w:hanging="283"/>
      </w:pPr>
      <w:r w:rsidRPr="00B84F9F">
        <w:t>διασφάλιση εκλογών με απρόσκοπτη πρόσβαση για τους Ευρωπαίους πολίτες με αναπηρία·</w:t>
      </w:r>
    </w:p>
    <w:p w:rsidRPr="00B84F9F" w:rsidR="00A41E5F" w:rsidP="00A41E5F" w:rsidRDefault="00A41E5F">
      <w:pPr>
        <w:pStyle w:val="ListParagraph"/>
        <w:numPr>
          <w:ilvl w:val="0"/>
          <w:numId w:val="7"/>
        </w:numPr>
        <w:ind w:left="1134" w:hanging="283"/>
      </w:pPr>
      <w:r w:rsidRPr="00B84F9F">
        <w:t>ενθάρρυνση των μεμονωμένων ατόμων να γίνουν μέλη όλων των ευρωπαϊκών πολιτικών κομμάτων·</w:t>
      </w:r>
    </w:p>
    <w:p w:rsidRPr="00B84F9F" w:rsidR="00A41E5F" w:rsidP="00A41E5F" w:rsidRDefault="00A41E5F">
      <w:pPr>
        <w:pStyle w:val="ListParagraph"/>
        <w:numPr>
          <w:ilvl w:val="0"/>
          <w:numId w:val="7"/>
        </w:numPr>
        <w:ind w:left="1134" w:hanging="283"/>
      </w:pPr>
      <w:r w:rsidRPr="00B84F9F">
        <w:t>διασφάλιση του δικαιώματος των πολιτών να γνωρίζουν ποια εθνικά πολιτικά κόμματα διατηρούν ή προτίθενται να αναπτύξουν δεσμούς με ευρωπαϊκά πολιτικά κόμματα·</w:t>
      </w:r>
    </w:p>
    <w:p w:rsidRPr="00B84F9F" w:rsidR="00A41E5F" w:rsidP="00A41E5F" w:rsidRDefault="00A41E5F">
      <w:pPr>
        <w:pStyle w:val="ListParagraph"/>
        <w:numPr>
          <w:ilvl w:val="0"/>
          <w:numId w:val="7"/>
        </w:numPr>
        <w:ind w:left="1134" w:hanging="283"/>
      </w:pPr>
      <w:r w:rsidRPr="00B84F9F">
        <w:t>εναρμόνιση της νομοθεσίας σχετικά με τις προϋποθέσεις εκλογής στο Ευρωπαϊκό Κοινοβούλιο (εκλογική ενηλικιότητα, ημερομηνία διεξαγωγής των εκλογών, απαιτήσεις όσον αφορά τις εκλογικές περιφέρειες, τους υποψηφίους και τα πολιτικά κόμματα και τη χρηματοδότησή τους) και προώθηση της σημασίας της παιδείας.</w:t>
      </w:r>
    </w:p>
    <w:p w:rsidRPr="00B84F9F" w:rsidR="00A41E5F" w:rsidP="00A41E5F" w:rsidRDefault="00A41E5F">
      <w:pPr>
        <w:keepNext/>
      </w:pPr>
    </w:p>
    <w:p w:rsidRPr="00B84F9F" w:rsidR="00A41E5F" w:rsidP="00A41E5F" w:rsidRDefault="00A41E5F">
      <w:pPr>
        <w:pStyle w:val="Heading1"/>
        <w:rPr>
          <w:b/>
        </w:rPr>
      </w:pPr>
      <w:r w:rsidRPr="00B84F9F">
        <w:rPr>
          <w:b/>
        </w:rPr>
        <w:t>Ιστορικό και γενικές παρατηρήσεις</w:t>
      </w:r>
    </w:p>
    <w:p w:rsidRPr="00B84F9F" w:rsidR="00A41E5F" w:rsidP="00A41E5F" w:rsidRDefault="00A41E5F">
      <w:pPr>
        <w:keepNext/>
      </w:pPr>
    </w:p>
    <w:p w:rsidRPr="00B84F9F" w:rsidR="00A41E5F" w:rsidP="00A41E5F" w:rsidRDefault="00A41E5F">
      <w:pPr>
        <w:pStyle w:val="Heading2"/>
        <w:rPr>
          <w:b/>
        </w:rPr>
      </w:pPr>
      <w:r w:rsidRPr="00B84F9F">
        <w:rPr>
          <w:b/>
        </w:rPr>
        <w:t>Ιστορικό της γνωμοδότησης, συμπεριλαμβανομένης της υπό εξέταση νομοθετικής πρότασης</w:t>
      </w:r>
    </w:p>
    <w:p w:rsidRPr="00B84F9F" w:rsidR="00A41E5F" w:rsidP="00A41E5F" w:rsidRDefault="00A41E5F"/>
    <w:p w:rsidRPr="00B84F9F" w:rsidR="00A41E5F" w:rsidP="00A41E5F" w:rsidRDefault="00A41E5F">
      <w:pPr>
        <w:pStyle w:val="Heading3"/>
      </w:pPr>
      <w:r w:rsidRPr="00B84F9F">
        <w:t>Η δέσμη μέτρων για την ενίσχυση της δημοκρατίας και του αδιάβλητου των εκλογών εκδόθηκε από την Ευρωπαϊκή Επιτροπή στις 25 Νοεμβρίου 2021. Η εν λόγω δέσμη είχε προηγουμένως ανακοινωθεί στις πολιτικές κατευθυντήριες γραμμές της Προέδρου της Ευρωπαϊκής Επιτροπής Ursula von der Leyen και στο ευρωπαϊκό σχέδιο δράσης για τη δημοκρατία που εγκρίθηκε τον Δεκέμβριο του 2020. Η δέσμη περιλαμβάνει τα ακόλουθα σημεία, εκ των οποίων η ΕΟΚΕ κλήθηκε να εξετάσει στη γνωμοδότησή της μόνο τα σημεία i και ii:</w:t>
      </w:r>
    </w:p>
    <w:p w:rsidRPr="00B84F9F" w:rsidR="00A41E5F" w:rsidP="00A41E5F" w:rsidRDefault="00A41E5F"/>
    <w:p w:rsidRPr="00B84F9F" w:rsidR="00A41E5F" w:rsidP="00A41E5F" w:rsidRDefault="00A41E5F">
      <w:pPr>
        <w:pStyle w:val="ListParagraph"/>
        <w:numPr>
          <w:ilvl w:val="0"/>
          <w:numId w:val="3"/>
        </w:numPr>
        <w:ind w:left="1134" w:hanging="283"/>
      </w:pPr>
      <w:r w:rsidRPr="00B84F9F">
        <w:t xml:space="preserve">την </w:t>
      </w:r>
      <w:r w:rsidRPr="00B84F9F">
        <w:rPr>
          <w:i/>
        </w:rPr>
        <w:t>αναθεώρηση</w:t>
      </w:r>
      <w:r w:rsidRPr="00B84F9F">
        <w:t xml:space="preserve"> του κανονισμού σχετικά με το καθεστώς και τη χρηματοδότηση των ευρωπαϊκών πολιτικών κομμάτων και των ευρωπαϊκών πολιτικών ιδρυμάτων·</w:t>
      </w:r>
    </w:p>
    <w:p w:rsidRPr="00B84F9F" w:rsidR="00A41E5F" w:rsidP="00A41E5F" w:rsidRDefault="00A41E5F">
      <w:pPr>
        <w:pStyle w:val="ListParagraph"/>
        <w:numPr>
          <w:ilvl w:val="0"/>
          <w:numId w:val="3"/>
        </w:numPr>
        <w:ind w:left="1134" w:hanging="283"/>
      </w:pPr>
      <w:r w:rsidRPr="00B84F9F">
        <w:t xml:space="preserve">την </w:t>
      </w:r>
      <w:r w:rsidRPr="00B84F9F">
        <w:rPr>
          <w:i/>
        </w:rPr>
        <w:t>πρόταση</w:t>
      </w:r>
      <w:r w:rsidRPr="00B84F9F">
        <w:t xml:space="preserve"> κανονισμού για τη διασφάλιση μεγαλύτερης διαφάνειας όσον αφορά την αμειβόμενη πολιτική διαφήμιση·</w:t>
      </w:r>
    </w:p>
    <w:p w:rsidRPr="00B84F9F" w:rsidR="00A41E5F" w:rsidP="00A41E5F" w:rsidRDefault="00A41E5F">
      <w:pPr>
        <w:pStyle w:val="ListParagraph"/>
        <w:numPr>
          <w:ilvl w:val="0"/>
          <w:numId w:val="3"/>
        </w:numPr>
        <w:ind w:left="1134" w:hanging="283"/>
      </w:pPr>
      <w:r w:rsidRPr="00B84F9F">
        <w:t xml:space="preserve">την </w:t>
      </w:r>
      <w:r w:rsidRPr="00B84F9F">
        <w:rPr>
          <w:i/>
        </w:rPr>
        <w:t>αναθεώρηση</w:t>
      </w:r>
      <w:r w:rsidRPr="00B84F9F">
        <w:t xml:space="preserve"> δύο οδηγιών σχετικά με το δικαίωμα ψήφου των «μετακινούμενων πολιτών της ΕΕ» (πολιτών της ΕΕ που διαμένουν σε κράτος μέλος του οποίου δεν είναι υπήκοοι)</w:t>
      </w:r>
    </w:p>
    <w:p w:rsidRPr="00B84F9F" w:rsidR="00A41E5F" w:rsidP="00A41E5F" w:rsidRDefault="00A41E5F">
      <w:pPr>
        <w:pStyle w:val="ListParagraph"/>
        <w:numPr>
          <w:ilvl w:val="0"/>
          <w:numId w:val="3"/>
        </w:numPr>
        <w:ind w:left="1134" w:hanging="283"/>
      </w:pPr>
      <w:r w:rsidRPr="00B84F9F">
        <w:t xml:space="preserve">την </w:t>
      </w:r>
      <w:r w:rsidRPr="00B84F9F">
        <w:rPr>
          <w:i/>
        </w:rPr>
        <w:t>πρόταση</w:t>
      </w:r>
      <w:r w:rsidRPr="00B84F9F">
        <w:t xml:space="preserve"> σχετικά με κοινό μηχανισμό για την ανθεκτικότητα του εκλογικού συστήματος.</w:t>
      </w:r>
    </w:p>
    <w:p w:rsidRPr="00B84F9F" w:rsidR="00A41E5F" w:rsidP="00A41E5F" w:rsidRDefault="00A41E5F"/>
    <w:p w:rsidRPr="00B84F9F" w:rsidR="00A41E5F" w:rsidP="00A41E5F" w:rsidRDefault="00A41E5F">
      <w:pPr>
        <w:pStyle w:val="Heading2"/>
        <w:rPr>
          <w:b/>
        </w:rPr>
      </w:pPr>
      <w:r w:rsidRPr="00B84F9F">
        <w:rPr>
          <w:b/>
        </w:rPr>
        <w:t>Γενικές παρατηρήσεις</w:t>
      </w:r>
    </w:p>
    <w:p w:rsidRPr="00B84F9F" w:rsidR="00A41E5F" w:rsidP="00B84F9F" w:rsidRDefault="00A41E5F"/>
    <w:p w:rsidRPr="00B84F9F" w:rsidR="00A41E5F" w:rsidP="00A41E5F" w:rsidRDefault="00A41E5F">
      <w:pPr>
        <w:pStyle w:val="Heading3"/>
        <w:rPr>
          <w:bCs/>
        </w:rPr>
      </w:pPr>
      <w:r w:rsidRPr="00B84F9F">
        <w:t>Η ΕΟΚΕ υπογραμμίζει τα ακόλουθα:</w:t>
      </w:r>
    </w:p>
    <w:p w:rsidRPr="00B84F9F" w:rsidR="00A41E5F" w:rsidP="00A41E5F" w:rsidRDefault="00A41E5F"/>
    <w:p w:rsidRPr="00B84F9F" w:rsidR="00A41E5F" w:rsidP="00A41E5F" w:rsidRDefault="00A41E5F">
      <w:pPr>
        <w:pStyle w:val="ListParagraph"/>
        <w:numPr>
          <w:ilvl w:val="0"/>
          <w:numId w:val="4"/>
        </w:numPr>
        <w:ind w:left="1134" w:hanging="283"/>
      </w:pPr>
      <w:r w:rsidRPr="00B84F9F">
        <w:t>Η ΕΟΚΕ εκφράζει την ικανοποίησή της όσον αφορά τις επικαιροποιήσεις της δέσμης μέτρων για τις ευρωπαϊκές εκλογές του 2018</w:t>
      </w:r>
      <w:r w:rsidRPr="00B84F9F">
        <w:rPr>
          <w:rStyle w:val="FootnoteReference"/>
        </w:rPr>
        <w:footnoteReference w:id="1"/>
      </w:r>
      <w:r w:rsidRPr="00B84F9F">
        <w:t>.</w:t>
      </w:r>
    </w:p>
    <w:p w:rsidRPr="00B84F9F" w:rsidR="00A41E5F" w:rsidP="00A41E5F" w:rsidRDefault="00A41E5F">
      <w:pPr>
        <w:pStyle w:val="ListParagraph"/>
        <w:numPr>
          <w:ilvl w:val="0"/>
          <w:numId w:val="4"/>
        </w:numPr>
        <w:ind w:left="1134" w:hanging="283"/>
      </w:pPr>
      <w:r w:rsidRPr="00B84F9F">
        <w:t>Η ΕΟΚΕ τονίζει τη σημασία της ανάληψης ενωσιακής δράσης για την προώθηση του δημοκρατικού διαλόγου.</w:t>
      </w:r>
    </w:p>
    <w:p w:rsidRPr="00B84F9F" w:rsidR="00A41E5F" w:rsidP="00A41E5F" w:rsidRDefault="00A41E5F">
      <w:pPr>
        <w:pStyle w:val="ListParagraph"/>
        <w:numPr>
          <w:ilvl w:val="0"/>
          <w:numId w:val="4"/>
        </w:numPr>
        <w:ind w:left="1134" w:hanging="283"/>
      </w:pPr>
      <w:r w:rsidRPr="00B84F9F">
        <w:t>Η ΕΟΚΕ συμφωνεί με τη δήλωση της Ευρωπαϊκής Επιτροπής ότι «πρέπει να καθίσταται σαφές στους πολίτες ότι λαμβάνουν πολιτικό περιεχόμενο και ποιος είναι ο φορέας του. Θα πρέπει να υπάρχει ουσιαστική διαφάνεια, που επιτρέπει τον δημόσιο έλεγχο και τη λογοδοσία των σχετικών παραγόντων και αντικατοπτρίζει τον συμπεριληπτικό και πολύμορφο χαρακτήρα των κοινωνιών μας».</w:t>
      </w:r>
      <w:r w:rsidRPr="00B84F9F">
        <w:rPr>
          <w:rStyle w:val="FootnoteReference"/>
        </w:rPr>
        <w:footnoteReference w:id="2"/>
      </w:r>
    </w:p>
    <w:p w:rsidRPr="00B84F9F" w:rsidR="00A41E5F" w:rsidP="00A41E5F" w:rsidRDefault="00A41E5F">
      <w:pPr>
        <w:pStyle w:val="ListParagraph"/>
        <w:numPr>
          <w:ilvl w:val="0"/>
          <w:numId w:val="4"/>
        </w:numPr>
        <w:ind w:left="1134" w:hanging="283"/>
      </w:pPr>
      <w:r w:rsidRPr="00B84F9F">
        <w:t>Ειδικότερα, οι πτυχές που σχετίζονται με τη διευκόλυνση της συμμετοχής των πολιτών, καθώς και με τη συμμετοχικότητα και την πολυμορφία των κοινωνιών μας, χρειάζονται περισσότερες και καλύτερες προτάσεις και κοινή δράση της ΕΕ. Πολλά σχετικά σημεία περιλαμβάνονται στη γνωμοδότηση της ΕΟΚΕ όσον αφορά το σχέδιο δράσης για τη δημοκρατία</w:t>
      </w:r>
      <w:r w:rsidRPr="00B84F9F">
        <w:rPr>
          <w:rStyle w:val="FootnoteReference"/>
        </w:rPr>
        <w:footnoteReference w:id="3"/>
      </w:r>
      <w:r w:rsidRPr="00B84F9F">
        <w:t>.</w:t>
      </w:r>
    </w:p>
    <w:p w:rsidRPr="00B84F9F" w:rsidR="00A41E5F" w:rsidP="00A41E5F" w:rsidRDefault="00A41E5F">
      <w:pPr>
        <w:pStyle w:val="ListParagraph"/>
        <w:numPr>
          <w:ilvl w:val="0"/>
          <w:numId w:val="4"/>
        </w:numPr>
        <w:ind w:left="1134" w:hanging="283"/>
      </w:pPr>
      <w:r w:rsidRPr="00B84F9F">
        <w:t>Η ΕΟΚΕ επισημαίνει τους κινδύνους που εγκυμονεί η παραπληροφόρηση για τη δημοκρατία στην Ευρωπαϊκή Ένωση και τονίζει ότι απαιτείται μια ισχυρή και αποφασιστική απάντηση προκειμένου να αποφευχθεί η υπονόμευση της αντικειμενικότητας των εκλογών και της συμμετοχής των πολιτών στα κοινά.</w:t>
      </w:r>
    </w:p>
    <w:p w:rsidRPr="00B84F9F" w:rsidR="00A41E5F" w:rsidP="00A41E5F" w:rsidRDefault="00A41E5F">
      <w:pPr>
        <w:pStyle w:val="ListParagraph"/>
        <w:numPr>
          <w:ilvl w:val="0"/>
          <w:numId w:val="4"/>
        </w:numPr>
        <w:ind w:left="1134" w:hanging="283"/>
      </w:pPr>
      <w:r w:rsidRPr="00B84F9F">
        <w:t>Η ψηφιακή επανάσταση έχει μεταμορφώσει τη δημοκρατική πολιτική. Τα διαδικτυακά εργαλεία που καλύπτουν ευρύ φάσμα μέσων διαδραματίζουν καίριο ρόλο στις πολιτικές εκστρατείες. Ορισμένες από αυτές τις εκστρατείες έχουν ως στόχο να προκαλέσουν δυσπιστία, απογοήτευση και στρέβλωση της σκέψης και της κατανόησης. Η ΕΟΚΕ συμφωνεί με την Ευρωπαϊκή Επιτροπή ότι, ως εκ τούτου, η ψηφιοποίηση των πολιτικών εκστρατειών ―παρότι προσφέρει πρωτοφανή μέσα για την προσέγγιση των πολιτών― μπορεί να έχει αρνητικές επιπτώσεις στη δημοκρατία. Πράγματι, σύμφωνα με το Ευρωβαρόμετρο, οι μισοί Ευρωπαίοι δηλώνουν ότι, κατά τη χρήση του διαδικτύου, έχουν εκτεθεί σε παραπληροφόρηση και διχαστικό διαδικτυακό περιεχόμενο. Επιπλέον, το ένα τρίτο των Ευρωπαίων αυτών ήταν εκτεθειμένοι σε περιεχόμενο και δεν ήταν σε θέση να προσδιορίσουν κατά πόσον επρόκειτο για πολιτική διαφήμιση</w:t>
      </w:r>
      <w:r w:rsidRPr="00B84F9F">
        <w:rPr>
          <w:rStyle w:val="FootnoteReference"/>
        </w:rPr>
        <w:footnoteReference w:id="4"/>
      </w:r>
      <w:r w:rsidRPr="00B84F9F">
        <w:t>.</w:t>
      </w:r>
    </w:p>
    <w:p w:rsidRPr="00B84F9F" w:rsidR="00A41E5F" w:rsidP="00A41E5F" w:rsidRDefault="00A41E5F">
      <w:pPr>
        <w:pStyle w:val="ListParagraph"/>
        <w:numPr>
          <w:ilvl w:val="0"/>
          <w:numId w:val="4"/>
        </w:numPr>
        <w:ind w:left="1134" w:hanging="283"/>
      </w:pPr>
      <w:r w:rsidRPr="00B84F9F">
        <w:t>Η ΕΟΚΕ υποστηρίζει το όραμα σύμφωνα με το οποίο ο ρόλος της ΕΕ στην ενίσχυση της δημοκρατίας θα πρέπει να εξεταστεί σε παγκόσμιο επίπεδο, ιδίως μέσω της εξωτερικής ενωσιακής δράσης που αναλαμβάνει η ΕΕ, όπως αναφέρεται στο έγγραφο COM(2021) 730.</w:t>
      </w:r>
    </w:p>
    <w:p w:rsidRPr="00B84F9F" w:rsidR="00A41E5F" w:rsidP="00A41E5F" w:rsidRDefault="00A41E5F"/>
    <w:p w:rsidRPr="00B84F9F" w:rsidR="00A41E5F" w:rsidP="00A41E5F" w:rsidRDefault="00A41E5F">
      <w:pPr>
        <w:pStyle w:val="Heading1"/>
        <w:keepNext/>
        <w:keepLines/>
      </w:pPr>
      <w:r w:rsidRPr="00B84F9F">
        <w:rPr>
          <w:b/>
        </w:rPr>
        <w:t>Ειδικές παρατηρήσεις</w:t>
      </w:r>
    </w:p>
    <w:p w:rsidRPr="00B84F9F" w:rsidR="00A41E5F" w:rsidP="00A41E5F" w:rsidRDefault="00A41E5F">
      <w:pPr>
        <w:keepNext/>
        <w:keepLines/>
      </w:pPr>
    </w:p>
    <w:p w:rsidRPr="00B84F9F" w:rsidR="00A41E5F" w:rsidP="00A41E5F" w:rsidRDefault="00A41E5F">
      <w:pPr>
        <w:pStyle w:val="Heading2"/>
        <w:keepNext/>
        <w:keepLines/>
        <w:rPr>
          <w:bCs/>
        </w:rPr>
      </w:pPr>
      <w:r w:rsidRPr="00B84F9F">
        <w:rPr>
          <w:b/>
        </w:rPr>
        <w:t>Προτεινόμενες τροποποιήσεις στην πρόταση κανονισμού σχετικά με τη διαφάνεια και τη στόχευση της πολιτικής διαφήμισης</w:t>
      </w:r>
    </w:p>
    <w:p w:rsidRPr="00B84F9F" w:rsidR="00A41E5F" w:rsidP="00A41E5F" w:rsidRDefault="00A41E5F">
      <w:pPr>
        <w:keepNext/>
        <w:keepLines/>
      </w:pPr>
    </w:p>
    <w:p w:rsidRPr="00B84F9F" w:rsidR="00A41E5F" w:rsidP="00A41E5F" w:rsidRDefault="00A41E5F">
      <w:pPr>
        <w:pStyle w:val="Heading3"/>
        <w:keepNext/>
        <w:keepLines/>
      </w:pPr>
      <w:r w:rsidRPr="00B84F9F">
        <w:t>Η ΕΟΚΕ υποστηρίζει έναν ευρύ αλλά σαφή ορισμό της πολιτικής διαφήμισης και προτείνει να συμπεριληφθούν κατάλληλες δράσεις σχετικά με διάφορα μέσα προεκλογικής εκστρατείας/αμειβόμενης άσκησης επιρροής στις πολιτικές διαδικασίες, συμπεριλαμβανομένων των επιπτώσεων μέσω των λεγόμενων «μποτ» και «τρολ» και/ή των πληροφοριών χειραγώγησης. Ενδέχεται να ανακύψουν προβλήματα σε περίπτωση που ένας ασαφής ορισμός επιφέρει υπερβολικά περιθώρια ελιγμών ή διαφορές ως προς την εφαρμογή στις διάφορες πλατφόρμες.</w:t>
      </w:r>
    </w:p>
    <w:p w:rsidRPr="00B84F9F" w:rsidR="00A41E5F" w:rsidP="00A41E5F" w:rsidRDefault="00A41E5F"/>
    <w:p w:rsidRPr="00B84F9F" w:rsidR="00A41E5F" w:rsidP="00A41E5F" w:rsidRDefault="00A41E5F">
      <w:pPr>
        <w:pStyle w:val="Heading3"/>
      </w:pPr>
      <w:r w:rsidRPr="00B84F9F">
        <w:t>Η ΕΟΚΕ θεωρεί ότι ο τρέχων κατάλογος πιθανών κυρώσεων είναι πολύ περιορισμένος και προτείνει να προστεθεί ένα νέο στοιχείο στο άρθρο 15 παράγραφος 5, ως εξής: «δ) να αναλαμβάνουν κοινή δράση που οδηγεί στην επιβολή ποινικών κυρώσεων, π.χ. για απάτη μεγάλης κλίμακας». Επιπλέον, η ΕΟΚΕ ζητεί τη θέσπιση κοινών ευρωπαϊκών κριτηρίων για τις κυρώσεις σε εθνικό επίπεδο.</w:t>
      </w:r>
    </w:p>
    <w:p w:rsidRPr="00B84F9F" w:rsidR="00A41E5F" w:rsidP="00A41E5F" w:rsidRDefault="00A41E5F"/>
    <w:p w:rsidRPr="00B84F9F" w:rsidR="00A41E5F" w:rsidP="00A41E5F" w:rsidRDefault="00A41E5F">
      <w:pPr>
        <w:pStyle w:val="Heading3"/>
      </w:pPr>
      <w:r w:rsidRPr="00B84F9F">
        <w:t>Επί του παρόντος, η επιλεγείσα νομική βάση είναι υπερβολικά περιορισμένη, γεγονός που σημαίνει ότι ο κανονισμός αφορά πρωτίστως υπηρεσίες που παρέχονται από οικονομικούς φορείς και είναι αμειβόμενες. Η νομική βάση θα πρέπει να διευρυνθεί και οι κανόνες που διέπουν την πολιτική διαφήμιση πρέπει να εφαρμόζονται σε όλα τα νομικά και φυσικά πρόσωπα που εκ των πραγμάτων δημιουργούν και δημοσιεύουν πολιτικές διαφημίσεις. Οι κανόνες για τα φυσικά πρόσωπα θα πρέπει να αποσαφηνιστούν κατά τρόπο ώστε να μην εφαρμόζονται σε άτομα που μοιράζονται τις πολιτικές τους απόψεις αμιγώς ως ιδιώτες. Οι αρνητικές παράπλευρες επιπτώσεις στην κοινωνία των πολιτών, καθώς και η συμβολή και η συμμετοχή της στη διαδικασία λήψης αποφάσεων θα πρέπει να αντιμετωπιστούν μέσω διεξοδικού διαλόγου με τις ενδιαφερόμενες οργανώσεις.</w:t>
      </w:r>
    </w:p>
    <w:p w:rsidRPr="00B84F9F" w:rsidR="00A41E5F" w:rsidP="00A41E5F" w:rsidRDefault="00A41E5F"/>
    <w:p w:rsidRPr="00B84F9F" w:rsidR="00A41E5F" w:rsidP="00A41E5F" w:rsidRDefault="00A41E5F">
      <w:pPr>
        <w:pStyle w:val="Heading3"/>
      </w:pPr>
      <w:r w:rsidRPr="00B84F9F">
        <w:t>Στο σημείο 14) του προοιμίου υποδεικνύεται ότι η διαφήμιση «που εκπονείται, τοποθετείται ή δημοσιεύεται εξ ολοκλήρου από παρόχους υπηρεσιών που είναι εγκατεστημένοι εκτός της Ένωσης αλλά διαδίδεται σε ιδιώτες εντός της Ένωσης» εμπίπτει στο πεδίο εφαρμογής του κανονισμού και, ως εκ τούτου, είναι, καταρχήν, επιτρεπτή. Ωστόσο, ο κίνδυνος ξένων παρεμβάσεων στις εκλογές αποτελεί εξαιρετικά σοβαρή απειλή για τη δημοκρατία στην ΕΕ. Πρέπει να θεσπιστεί μια δέσμη ειδικών διατάξεων με στόχο την πρόληψη της διάδοσης εντός της ΕΕ πολιτικών διαφημίσεων ή άλλων προεκλογικών δραστηριοτήτων που χρηματοδοτούνται άμεσα ή έμμεσα από φορείς εκτός της ΕΕ.</w:t>
      </w:r>
    </w:p>
    <w:p w:rsidRPr="00B84F9F" w:rsidR="00A41E5F" w:rsidP="00A41E5F" w:rsidRDefault="00A41E5F"/>
    <w:p w:rsidRPr="00B84F9F" w:rsidR="00A41E5F" w:rsidP="00A41E5F" w:rsidRDefault="00A41E5F">
      <w:pPr>
        <w:pStyle w:val="Heading3"/>
      </w:pPr>
      <w:r w:rsidRPr="00B84F9F">
        <w:t xml:space="preserve">Για λόγους μεγαλύτερης διαφάνειας, το άρθρο 7 παράγραφος 1 στοιχείο γ) του σχεδίου κανονισμού θα πρέπει να τροποποιηθεί ως εξής: «μια ανακοίνωση για τη διαφάνεια που θα επιτρέπει την κατανόηση του ευρύτερου πλαισίου της πολιτικής διαφήμισης και των στόχων της», διαγράφοντας το ακόλουθο τμήμα του κειμένου: «ή σαφή ένδειξη του πού μπορεί να ανακτηθεί εύκολα». Το σημείο 40) του προοιμίου πρέπει να τροποποιηθεί αναλόγως. </w:t>
      </w:r>
    </w:p>
    <w:p w:rsidRPr="00B84F9F" w:rsidR="00A41E5F" w:rsidP="00A41E5F" w:rsidRDefault="00A41E5F"/>
    <w:p w:rsidRPr="00B84F9F" w:rsidR="00A41E5F" w:rsidP="00A41E5F" w:rsidRDefault="00A41E5F">
      <w:pPr>
        <w:pStyle w:val="Heading3"/>
      </w:pPr>
      <w:r w:rsidRPr="00B84F9F">
        <w:t>Για λόγους μεγαλύτερης διαφάνειας, το άρθρο 7 του σχεδίου κανονισμού θα πρέπει επίσης να προβλέπει τη δημοσίευση του ποσού που δαπανάται για τη διαφήμιση και τη σχετική εκστρατεία. Οι υφιστάμενες βέλτιστες πρακτικές στα κράτη μέλη, οι οποίες απαιτούν προεκλογική διαφάνεια όσον αφορά το κόστος διαφήμισης και υπηρεσιών, που ισχύουν εξίσου για όλες τις πολιτικές δυνάμεις, θα πρέπει να υποστηριχθούν και να συμπεριληφθούν στον κανονισμό. Θα πρέπει να θεσπιστεί κατάλληλο σύστημα παρακολούθησης.</w:t>
      </w:r>
    </w:p>
    <w:p w:rsidRPr="00B84F9F" w:rsidR="00A41E5F" w:rsidP="00A41E5F" w:rsidRDefault="00A41E5F"/>
    <w:p w:rsidRPr="00B84F9F" w:rsidR="00A41E5F" w:rsidP="00A41E5F" w:rsidRDefault="00A41E5F">
      <w:pPr>
        <w:pStyle w:val="Heading3"/>
      </w:pPr>
      <w:r w:rsidRPr="00B84F9F">
        <w:t xml:space="preserve">Το δικαίωμα των πολιτών να λαμβάνουν διαφανείς πληροφορίες σχετικά με την πολιτική διαφήμιση θα πρέπει να υπερισχύει του διοικητικού φόρτου που επιφέρουν οι απαιτήσεις υποβολής εκθέσεων στους παρόχους υπηρεσιών. Κατά συνέπεια, το άρθρο 8 του σχεδίου κανονισμού (Περιοδική υποβολή εκθέσεων σχετικά με τις υπηρεσίες πολιτικής διαφήμισης) πρέπει να εφαρμόζεται σε όλους τους εκδότες διαφημίσεων, συμπεριλαμβανομένων εκείνων που ταξινομούνται ως πολύ μικρές, μικρές και μεσαίες επιχειρήσεις. Για τον σκοπό αυτόν, η παράγραφος 2 του άρθρου 8 («Η παράγραφος 1 δεν εφαρμόζεται σε επιχειρήσεις που πληρούν τις προϋποθέσεις του άρθρου 3 παράγραφος 3 της οδηγίας 2013/34/ΕΕ») θα πρέπει να διαγραφεί. </w:t>
      </w:r>
    </w:p>
    <w:p w:rsidRPr="00B84F9F" w:rsidR="00A41E5F" w:rsidP="00A41E5F" w:rsidRDefault="00A41E5F"/>
    <w:p w:rsidRPr="00B84F9F" w:rsidR="00A41E5F" w:rsidP="00A41E5F" w:rsidRDefault="00A41E5F">
      <w:pPr>
        <w:pStyle w:val="Heading3"/>
      </w:pPr>
      <w:r w:rsidRPr="00B84F9F">
        <w:t>Το άρθρο 9 του σχεδίου κανονισμού (Ένδειξη πιθανών παράνομων πολιτικών διαφημίσεων) θα πρέπει να τροποποιηθεί. Αντί να είναι μόνο οι εκδότες διαφημίσεων αυτοί που χειρίζονται τις καταγγελίες ιδιωτών ότι μια διαφήμιση που έχουν δημοσιεύσει δεν συμμορφώνεται με τον κανονισμό, πρέπει επίσης να υπάρχει η δυνατότητα υποβολής καταγγελίας απευθείας στις αρμόδιες εθνικές αρχές. Διαφορετικά, αυτό μπορεί να οδηγήσει σε κατάσταση σύγκρουσης συμφερόντων, κατά την οποία ένας εκδότης διαφημίσεων ενδέχεται να μην επιθυμεί να διακόψει μια συγκεκριμένη διαφημιστική εκστρατεία λόγω του φόβου απώλειας εσόδων.</w:t>
      </w:r>
    </w:p>
    <w:p w:rsidRPr="00B84F9F" w:rsidR="00A41E5F" w:rsidP="00A41E5F" w:rsidRDefault="00A41E5F"/>
    <w:p w:rsidRPr="00B84F9F" w:rsidR="00A41E5F" w:rsidP="00A41E5F" w:rsidRDefault="00A41E5F">
      <w:pPr>
        <w:pStyle w:val="Heading3"/>
      </w:pPr>
      <w:r w:rsidRPr="00B84F9F">
        <w:t>Οι πληροφορίες σχετικά με την πολιτική διαφήμιση πρέπει να είναι διαθέσιμες δωρεάν σε όλους τους ενδιαφερόμενους φορείς. Για τον σκοπό αυτόν, πιστεύουμε ότι ο περιορισμός των κατηγοριών των προσώπων που μπορούν να ζητούν πληροφορίες από παρόχους υπηρεσιών πολιτικής διαφήμισης, όπως αναφέρεται στην παράγραφο 2 του άρθρου 11 του σχεδίου κανονισμού, είναι αδικαιολόγητος. Επιπλέον, οι παράγραφοι 4 έως 7 του ίδιου άρθρου θα πρέπει να διαγραφούν. Οι πληροφορίες θα πρέπει να είναι ευπρόσιτες και χρηστικές.</w:t>
      </w:r>
    </w:p>
    <w:p w:rsidRPr="00B84F9F" w:rsidR="00A41E5F" w:rsidP="00A41E5F" w:rsidRDefault="00A41E5F"/>
    <w:p w:rsidRPr="00B84F9F" w:rsidR="00A41E5F" w:rsidP="00A41E5F" w:rsidRDefault="00A41E5F">
      <w:pPr>
        <w:pStyle w:val="Heading3"/>
      </w:pPr>
      <w:r w:rsidRPr="00B84F9F">
        <w:t>Η ΕΟΚΕ συνιστά ένθερμα την απαγόρευση της στοχευμένης πολιτικής διαφήμισης που βασίζεται σε εκτεταμένη και συστηματική παρακολούθηση και επεξεργασία πληροφοριών σχετικά με τη συμπεριφορά ενός ατόμου εντός ή εκτός διαδικτύου. Είναι σημαντικό να υπενθυμιστεί ότι τα δεδομένα προσωπικού χαρακτήρα που δεν είναι αφ’ εαυτών ευαίσθητα μπορούν, σε συνδυασμό με άλλα μη προσωπικά ή μη ευαίσθητα δεδομένα, να παρέχουν εκ παραδρομής τις ίδιες ευαίσθητες πληροφορίες με εκείνες που προσπαθεί να προστατεύσει η Ευρωπαϊκή Επιτροπή. Θα πρέπει να συμπεριληφθεί στον κανονισμό ένα ξεχωριστό σημείο σχετικά με αυτό το θέμα.</w:t>
      </w:r>
    </w:p>
    <w:p w:rsidRPr="00B84F9F" w:rsidR="00A41E5F" w:rsidP="00A41E5F" w:rsidRDefault="00A41E5F"/>
    <w:p w:rsidRPr="00B84F9F" w:rsidR="00A41E5F" w:rsidP="00A41E5F" w:rsidRDefault="00A41E5F">
      <w:pPr>
        <w:pStyle w:val="Heading3"/>
      </w:pPr>
      <w:r w:rsidRPr="00B84F9F">
        <w:t xml:space="preserve">Το σχέδιο κανονισμού επιτρέπει τη χρήση τεχνικών στόχευσης και ενίσχυσης στην πολιτική διαφήμιση που περιλαμβάνουν την επεξεργασία ευαίσθητων δεδομένων προσωπικού χαρακτήρα «με βάση τη ρητή συγκατάθεση του υποκειμένου των δεδομένων ή κατά τη διάρκεια των νόμιμων δραστηριοτήτων του με κατάλληλες διασφαλίσεις ιδρύματος, οργάνωσης ή άλλου μη κερδοσκοπικού φορέα με πολιτικό, φιλοσοφικό, θρησκευτικό ή συνδικαλιστικό στόχο». Ωστόσο, η έννοια της «ρητής συγκατάθεσης» είναι εξαιρετικά προβληματική στο πλαίσιο αυτό, δεδομένου ότι δεν υπάρχουν τρόποι να διασφαλιστεί ή να επαληθευθεί, με υψηλό βαθμό αξιοπιστίας, ότι τα μεμονωμένα άτομα που αποτελούν στόχο των τεχνικών στόχευσης και ενίσχυσης χρειάζονται χρόνο για να εξοικειωθούν με αυτές τις τεχνικές, να κατανοήσουν πλήρως τον σχετικό κίνδυνο και να δώσουν τη συγκατάθεσή τους πραγματικά αυτοβούλως. Λόγω του υψηλού κινδύνου που ενέχει για την ενωσιακή δημοκρατία η χρήση τεχνικών στόχευσης και ενίσχυσης στην πολιτική διαφήμιση, οι εν λόγω τεχνικές που βασίζονται σε ευαίσθητα δεδομένα θα πρέπει να απαγορευτούν εντελώς. </w:t>
      </w:r>
    </w:p>
    <w:p w:rsidRPr="00B84F9F" w:rsidR="00A41E5F" w:rsidP="00A41E5F" w:rsidRDefault="00A41E5F"/>
    <w:p w:rsidRPr="00B84F9F" w:rsidR="00A41E5F" w:rsidP="00A41E5F" w:rsidRDefault="00A41E5F">
      <w:pPr>
        <w:pStyle w:val="Heading3"/>
      </w:pPr>
      <w:r w:rsidRPr="00B84F9F">
        <w:t>Η διαφάνεια ως προς τις τεχνικές στόχευσης θα πρέπει επίσης να είναι φανερή και πρόδηλη όσον αφορά τις πληροφορίες που δεν έχουν άμεση σχέση με συγκεκριμένη εκστρατεία. Οι πληροφορίες σχετικά με τους λόγους για τους οποίους κάποιος βλέπει μια συγκεκριμένη διαφήμιση πρέπει να είναι σαφείς και εύχρηστες, με δικαίωμα ταχείας απόσυρσης της δυνητικής συγκατάθεσης για τη στόχευση κατ’ αυτόν τον τρόπο.</w:t>
      </w:r>
    </w:p>
    <w:p w:rsidRPr="00B84F9F" w:rsidR="00A41E5F" w:rsidP="00A41E5F" w:rsidRDefault="00A41E5F"/>
    <w:p w:rsidRPr="00B84F9F" w:rsidR="00A41E5F" w:rsidP="00A41E5F" w:rsidRDefault="00A41E5F">
      <w:pPr>
        <w:pStyle w:val="Heading3"/>
      </w:pPr>
      <w:r w:rsidRPr="00B84F9F">
        <w:t xml:space="preserve">Θα πρέπει να εξεταστεί η δυνητική θέσπιση ειδικών ρυθμίσεων για χώρες στις οποίες η ανεξαρτησία των δημόσιων μέσων ενημέρωσης δεν διασφαλίζεται δεόντως. Επιπλέον, θα πρέπει να καλυφθούν τα κενά και να αντιμετωπιστούν τα προβλήματα που οφείλονται στην απουσία κανονιστικής ρύθμισης της διαφήμισης σχετικά με συγκεκριμένα ζητήματα. </w:t>
      </w:r>
    </w:p>
    <w:p w:rsidRPr="00B84F9F" w:rsidR="00A41E5F" w:rsidP="00A41E5F" w:rsidRDefault="00A41E5F"/>
    <w:p w:rsidRPr="00B84F9F" w:rsidR="00A41E5F" w:rsidP="00A41E5F" w:rsidRDefault="00A41E5F">
      <w:pPr>
        <w:pStyle w:val="Heading2"/>
        <w:rPr>
          <w:b/>
        </w:rPr>
      </w:pPr>
      <w:r w:rsidRPr="00B84F9F">
        <w:rPr>
          <w:b/>
        </w:rPr>
        <w:t>Προτεινόμενες τροποποιήσεις στην πρόταση κανονισμού σχετικά με το καθεστώς και τη χρηματοδότηση των ευρωπαϊκών πολιτικών κομμάτων και των ευρωπαϊκών πολιτικών ιδρυμάτων (αναδιατύπωση)</w:t>
      </w:r>
    </w:p>
    <w:p w:rsidRPr="00B84F9F" w:rsidR="00A41E5F" w:rsidP="00A41E5F" w:rsidRDefault="00A41E5F"/>
    <w:p w:rsidRPr="00B84F9F" w:rsidR="00A41E5F" w:rsidP="00A41E5F" w:rsidRDefault="00A41E5F">
      <w:pPr>
        <w:pStyle w:val="Heading3"/>
      </w:pPr>
      <w:r w:rsidRPr="00B84F9F">
        <w:t>Το άρθρο 4 του σχεδίου κανονισμού, παράγραφος 1 στοιχείο ι) («εσωτερικοί κανόνες σχετικά με την ισόρροπη εκπροσώπηση των φύλων») πρέπει να ενισχυθεί, αφενός, με τον καθορισμό ελάχιστων προτύπων όσον αφορά την ισόρροπη εκπροσώπηση των φύλων, όπως ποσοστώσεις για την εκπροσώπηση των φύλων στη συνολική σύνθεση και σε θέσεις ευθύνης, και, αφετέρου, με την απαίτηση τήρησης των προτύπων αυτών.</w:t>
      </w:r>
    </w:p>
    <w:p w:rsidRPr="00B84F9F" w:rsidR="00A41E5F" w:rsidP="00A41E5F" w:rsidRDefault="00A41E5F"/>
    <w:p w:rsidRPr="00B84F9F" w:rsidR="00A41E5F" w:rsidP="00A41E5F" w:rsidRDefault="00A41E5F">
      <w:pPr>
        <w:pStyle w:val="Heading3"/>
      </w:pPr>
      <w:r w:rsidRPr="00B84F9F">
        <w:t>Η παράγραφος 2 του άρθρου 4 θα πρέπει να τροποποιηθεί ώστε να προβλέπει ότι το καταστατικό ενός ευρωπαϊκού πολιτικού κόμματος περιλαμβάνει επίσης διατάξεις σχετικά με την προσέγγιση του κόμματος όσον αφορά την αντιμετώπιση των διακρίσεων και την προώθηση των ανθρωπίνων δικαιωμάτων σύμφωνα με τους κανόνες της ΕΕ.</w:t>
      </w:r>
    </w:p>
    <w:p w:rsidRPr="00B84F9F" w:rsidR="00A41E5F" w:rsidP="00A41E5F" w:rsidRDefault="00A41E5F"/>
    <w:p w:rsidRPr="00B84F9F" w:rsidR="00A41E5F" w:rsidP="00A41E5F" w:rsidRDefault="00A41E5F">
      <w:pPr>
        <w:pStyle w:val="Heading3"/>
      </w:pPr>
      <w:r w:rsidRPr="00B84F9F">
        <w:t>Η ΕΟΚΕ πιστεύει ότι οι πιθανές εισφορές ή δωρεές από χώρες εκτός της ΕΕ προς όφελος πολιτικών κομμάτων ή ιδρυμάτων της ΕΕ ενδέχεται να συνιστούν υπερβολικό κίνδυνο για την ανεξαρτησία των αποδεκτών και, ως εκ τούτου, και για το δημοκρατικό σύστημα. Για τον σκοπό αυτό, το άρθρο 23 παράγραφοι 9 και 10 του σχεδίου κανονισμού θα πρέπει να τροποποιηθεί προκειμένου να διασφαλιστεί με κάθε αυστηρότητα ότι εισφορές σε πολιτικά κόμματα επιτρέπονται μόνον από χώρες που ανήκουν στο Συμβούλιο της Ευρώπης και δεν επιβάλλουν περιορισμούς στις κοινές αξίες της ΕΕ και όπου οι εν λόγω αξίες μπορούν να προαχθούν ελεύθερα. Μια άλλη τροποποίηση αφορά τη σημαντική μείωση των επιτρεπόμενων ποσών για τις εισφορές και τις δωρεές. Αυτή θα πρέπει επίσης να καλύπτει πιθανά δάνεια και άλλες χρηματοοικονομικές δεσμεύσεις.</w:t>
      </w:r>
    </w:p>
    <w:p w:rsidRPr="00B84F9F" w:rsidR="00A41E5F" w:rsidP="00A41E5F" w:rsidRDefault="00A41E5F"/>
    <w:p w:rsidRPr="00B84F9F" w:rsidR="00A41E5F" w:rsidP="00A41E5F" w:rsidRDefault="00A41E5F">
      <w:pPr>
        <w:pStyle w:val="Heading3"/>
      </w:pPr>
      <w:r w:rsidRPr="00B84F9F">
        <w:t>Για λόγους διαφάνειας, θα πρέπει να τροποποιηθεί η παράγραφος 11 του άρθρου 23 του σχεδίου κανονισμού, διαγράφοντας τη φράση «Το όριο του πρώτου εδαφίου δεν ισχύει όταν το εν λόγω μέλος είναι επίσης εκλεγμένο μέλος του Ευρωπαϊκού Κοινοβουλίου, εθνικού κοινοβουλίου ή περιφερειακού κοινοβουλίου ή περιφερειακής συνέλευσης». Έτσι, το καθολικό ανώτατο όριο για τις δωρεές πολιτών θα είναι 18 000 EUR ανά έτος και ανά μέλος.</w:t>
      </w:r>
    </w:p>
    <w:p w:rsidRPr="00B84F9F" w:rsidR="00A41E5F" w:rsidP="00A41E5F" w:rsidRDefault="00A41E5F"/>
    <w:p w:rsidRPr="00B84F9F" w:rsidR="00A41E5F" w:rsidP="00A41E5F" w:rsidRDefault="00A41E5F">
      <w:pPr>
        <w:pStyle w:val="Heading3"/>
      </w:pPr>
      <w:r w:rsidRPr="00B84F9F">
        <w:t>Σύμφωνα με όσα αναφέρονται ανωτέρω, οι κανόνες για τις πολιτικές διαφημίσεις θα πρέπει να εφαρμόζονται πλήρως σε όλες τις περιπτώσεις κατά τις οποίες τα ευρωπαϊκά πολιτικά κόμματα συμμετέχουν σε πολιτικές διαφημίσεις και όχι μόνο στις περιπτώσεις κατά τις οποίες βασίζονται σε εξωτερικούς παρόχους υπηρεσιών. Το άρθρο 5 του σχεδίου κανονισμού θα πρέπει να τροποποιηθεί κατά τρόπο ώστε να αντικατοπτρίζει το γεγονός αυτό.</w:t>
      </w:r>
    </w:p>
    <w:p w:rsidRPr="00B84F9F" w:rsidR="00A41E5F" w:rsidP="00A41E5F" w:rsidRDefault="00A41E5F"/>
    <w:p w:rsidRPr="00B84F9F" w:rsidR="00A41E5F" w:rsidP="00A41E5F" w:rsidRDefault="00A41E5F">
      <w:pPr>
        <w:pStyle w:val="Heading3"/>
        <w:rPr>
          <w:color w:val="000000"/>
          <w:shd w:val="clear" w:color="auto" w:fill="FFFFFF"/>
        </w:rPr>
      </w:pPr>
      <w:r w:rsidRPr="00B84F9F">
        <w:rPr>
          <w:color w:val="000000"/>
          <w:shd w:val="clear" w:color="auto" w:fill="FFFFFF"/>
        </w:rPr>
        <w:t>Οι διατάξεις του άρθρου 24 σχετικά με την πιθανή χρηματοδότηση από τα ευρωπαϊκά πολιτικά κόμματα και τα ευρωπαϊκά πολιτικά ιδρύματα εθνικών εκστρατειών για δημοψηφίσματα ενδέχεται είτε να δημιουργήσουν προβληματικές καταστάσεις λόγω πιθανής κατάχρησης από λαϊκιστές ή από ριζοσπαστικές δυνάμεις είτε να οδηγήσουν σε ισχυρισμούς για «ξένη παρέμβαση». Οι κίνδυνοι αυτοί είναι ιδιαίτερα υψηλοί στα μικρότερα κράτη μέλη της ΕΕ, όπου οι επιδραστικές εκστρατείες μπορούν να πραγματοποιηθούν με σχετικά περιορισμένη χρηματοδότηση και σε σύντομα χρονικά διαστήματα, ενώ οι διαδικασίες σχετικά με τη νομιμότητα της χρηματοδότησης από ευρωπαϊκά πολιτικά κόμματα ή ιδρύματα ενδέχεται να είναι χρονοβόρες. Η παρούσα πρόταση θα πρέπει να εφαρμοστεί μόνο σε συνδυασμό με τις κανονιστικές ρυθμίσεις που διέπουν τα δημοψηφίσματα σε εθνικό επίπεδο και μετριάζουν τους εντοπιζόμενους κινδύνους. Οι δημόσιες συζητήσεις με πολιτικούς από άλλα κράτη μέλη της ΕΕ είναι σε κάθε περίπτωση πολύτιμες.</w:t>
      </w:r>
    </w:p>
    <w:p w:rsidRPr="00B84F9F" w:rsidR="00A41E5F" w:rsidP="00A41E5F" w:rsidRDefault="00A41E5F"/>
    <w:p w:rsidRPr="00B84F9F" w:rsidR="00A41E5F" w:rsidP="00A41E5F" w:rsidRDefault="00A41E5F">
      <w:pPr>
        <w:pStyle w:val="Heading3"/>
      </w:pPr>
      <w:r w:rsidRPr="00B84F9F">
        <w:t>Για λόγους διαφάνειας, το άρθρο 36 θα πρέπει να τροποποιηθεί ώστε να συμπεριλάβει αυστηρότερους κανόνες σχετικά με τη δημοσιοποίηση των δωρεών από φυσικά πρόσωπα. Το μέγιστο ποσό κάθε δωρεάς για την οποία δεν δημοσιοποιείται το όνομα του δωρητή θα πρέπει να οριστεί σε 1 000 EUR. Το ποσό αυτό θεωρείται περισσότερο αναλογικό προς τα σχετικά χαμηλότερα επίπεδα εισοδήματος σε ορισμένα κράτη μέλη της ΕΕ.</w:t>
      </w:r>
    </w:p>
    <w:p w:rsidRPr="00B84F9F" w:rsidR="00A41E5F" w:rsidP="00A41E5F" w:rsidRDefault="00A41E5F"/>
    <w:p w:rsidRPr="00B84F9F" w:rsidR="00A41E5F" w:rsidP="00A41E5F" w:rsidRDefault="00A41E5F">
      <w:pPr>
        <w:pStyle w:val="Heading3"/>
      </w:pPr>
      <w:r w:rsidRPr="00B84F9F">
        <w:rPr>
          <w:color w:val="000000"/>
        </w:rPr>
        <w:t>Η Ευρωπαϊκή Επιτροπή προτείνει την τροποποίηση του άρθρου 20 παράγραφος 4 με σκοπό να μειωθεί το ποσοστό συγχρηματοδότησης από 10 % σε 5 % για τα ευρωπαϊκά πολιτικά κόμματα και σε 0 % κατά το έτος των εκλογών για το Ευρωπαϊκό Κοινοβούλιο. Η ΕΟΚΕ δεν συμφωνεί με την πρόταση αυτή διότι ακόμη και ένα χαμηλό επίπεδο συγχρηματοδότησης καταδεικνύει την προσήλωση των πολιτικών κομμάτων στις πολιτικές που υποστηρίζουν. Επιπλέον, η ΕΟΚΕ επισημαίνει ότι όλες οι χρηματικές ροές μεταξύ εθνικών και ευρωπαϊκών πολιτικών κομμάτων πρέπει να είναι διαφανείς.</w:t>
      </w:r>
    </w:p>
    <w:p w:rsidRPr="00B84F9F" w:rsidR="00A41E5F" w:rsidP="00A41E5F" w:rsidRDefault="00A41E5F"/>
    <w:p w:rsidRPr="00B84F9F" w:rsidR="00A41E5F" w:rsidP="00A41E5F" w:rsidRDefault="00A41E5F">
      <w:pPr>
        <w:pStyle w:val="Heading2"/>
        <w:rPr>
          <w:rFonts w:eastAsiaTheme="minorHAnsi"/>
          <w:b/>
        </w:rPr>
      </w:pPr>
      <w:r w:rsidRPr="00B84F9F">
        <w:rPr>
          <w:b/>
        </w:rPr>
        <w:t xml:space="preserve">Ανθεκτικότητα και ειδικές πτυχές για την ενίσχυση του ρόλου της κοινωνίας των πολιτών στις εκλογικές διαδικασίες </w:t>
      </w:r>
    </w:p>
    <w:p w:rsidRPr="00B84F9F" w:rsidR="00A41E5F" w:rsidP="00A41E5F" w:rsidRDefault="00A41E5F">
      <w:pPr>
        <w:rPr>
          <w:rFonts w:eastAsiaTheme="minorHAnsi"/>
        </w:rPr>
      </w:pPr>
    </w:p>
    <w:p w:rsidRPr="00B84F9F" w:rsidR="00A41E5F" w:rsidP="00A41E5F" w:rsidRDefault="00A41E5F">
      <w:pPr>
        <w:pStyle w:val="Heading3"/>
      </w:pPr>
      <w:r w:rsidRPr="00B84F9F">
        <w:t xml:space="preserve">Δεδομένου ότι τα λαϊκιστικά και εθνικιστικά κόμματα και δίκτυα κερδίζουν έδαφος στην Ευρώπη, με εσωτερική και εξωτερική βοήθεια, η ΕΟΚΕ πιστεύει ότι η προώθηση της συμμετοχής των πολιτών στην ευρωπαϊκή δημοκρατική διαδικασία, όπως αναφέρεται στη γνωμοδότησή της σχετικά με το </w:t>
      </w:r>
      <w:r w:rsidRPr="00B84F9F">
        <w:rPr>
          <w:i/>
        </w:rPr>
        <w:t>σχέδιο δράσης για τη δημοκρατία</w:t>
      </w:r>
      <w:r w:rsidRPr="00B84F9F">
        <w:t>, έχει καταστεί πιο επιτακτική από ποτέ και θα πρέπει να αντιμετωπιστεί σε συνδυασμό με τη ρύθμιση των εκλογικών διαδικασιών. Οι πολίτες πρέπει να έχουν ουσιαστικό λόγο στη διαμόρφωση του μέλλοντος της ΕΕ όσον αφορά τις εκλογές, όπως π.χ. αναφέρεται κατωτέρω, και πέραν και/ή μεταξύ των εκλογών (όπως επισημαίνεται στη γνωμοδότηση της ΕΟΚΕ με θέμα το σχέδιο δράσης για τη δημοκρατία, καθώς και στον χάρτη πορείας για την εφαρμογή του άρθρου 11 της ΣΕΕ και στο σχετικό σχέδιο δράσης</w:t>
      </w:r>
      <w:r w:rsidRPr="00B84F9F">
        <w:rPr>
          <w:rStyle w:val="FootnoteReference"/>
        </w:rPr>
        <w:footnoteReference w:id="5"/>
      </w:r>
      <w:r w:rsidRPr="00B84F9F">
        <w:t>).</w:t>
      </w:r>
    </w:p>
    <w:p w:rsidRPr="00B84F9F" w:rsidR="00A41E5F" w:rsidP="00A41E5F" w:rsidRDefault="00A41E5F">
      <w:pPr>
        <w:rPr>
          <w:rFonts w:eastAsiaTheme="minorHAnsi"/>
        </w:rPr>
      </w:pPr>
    </w:p>
    <w:p w:rsidRPr="00B84F9F" w:rsidR="00A41E5F" w:rsidP="00A41E5F" w:rsidRDefault="00A41E5F">
      <w:pPr>
        <w:pStyle w:val="Heading3"/>
        <w:rPr>
          <w:rFonts w:eastAsiaTheme="minorHAnsi"/>
        </w:rPr>
      </w:pPr>
      <w:r w:rsidRPr="00B84F9F">
        <w:t>Η ΕΟΚΕ τονίζει την πρότασή της για τη διοργάνωση ετήσιας εκδήλωσης στην οποία θα συμμετέχουν εκπρόσωποι ανώτατου επιπέδου των θεσμικών οργάνων της ΕΕ και των οργανώσεων/ενώσεων της κοινωνίας των πολιτών, καθώς και οι κοινωνικοί εταίροι και εκπρόσωποι τομεακών διαλόγων και τοπικών, περιφερειακών, εθνικών και μακροπεριφερειακών διαλόγων (διακρατική πολιτική και πολιτική γειτονίας), με σκοπό την ανταλλαγή βέλτιστων πρακτικών και την κατάρτιση ετήσιου σχεδίου για την ενίσχυση της δημοκρατίας, της συμμετοχής και του διαλόγου με τους πολίτες, καθώς και την εφαρμογή του άρθρου 11 της ΣΕΕ. Η εκδήλωση αυτή θα μπορούσε επίσης να δημιουργήσει συνέργειες με τη δέσμη μέτρων για τις εκλογές. Η Ευρωπαϊκή Επιτροπή και η ΕΟΚΕ θα πρέπει να πρωτοστατήσουν σε αυτήν τη διαδικασία ως διοργανωτές.</w:t>
      </w:r>
    </w:p>
    <w:p w:rsidRPr="00B84F9F" w:rsidR="00A41E5F" w:rsidP="00A41E5F" w:rsidRDefault="00A41E5F"/>
    <w:p w:rsidRPr="00B84F9F" w:rsidR="00A41E5F" w:rsidP="00A41E5F" w:rsidRDefault="00A41E5F">
      <w:pPr>
        <w:pStyle w:val="Heading3"/>
        <w:rPr>
          <w:rFonts w:eastAsiaTheme="minorHAnsi"/>
        </w:rPr>
      </w:pPr>
      <w:r w:rsidRPr="00B84F9F">
        <w:t>Η Ευρωπαϊκή Επιτροπή πρέπει να θεσπίσει ειδικό χρηματοδοτικό μέσο για τη διεξαγωγή αμερόληπτων και χωρίς αποκλεισμούς εκστρατειών με σύνθημα «όλοι στις κάλπες» τόσο από την κοινωνία των πολιτών όσο και από ανεξάρτητα μέσα μαζικής ενημέρωσης, με στόχο την αύξηση της συμμετοχής στις εκλογές, ιδίως στη συντριπτική πλειονότητα των κρατών μελών της ΕΕ όπου η συμμετοχή στις εκλογές δεν είναι υποχρεωτική. Οι εκστρατείες αυτές θα πρέπει, ειδικότερα, να επικεντρώνονται στη συμμετοχή μη προνομιούχων ομάδων, όπως οι μειονότητες και οι ομάδες που βρίσκονται σε μειονεκτική θέση λόγω της κοινωνικής ή της οικονομικής τους κατάστασης κ.λπ.</w:t>
      </w:r>
    </w:p>
    <w:p w:rsidRPr="00B84F9F" w:rsidR="00A41E5F" w:rsidP="00A41E5F" w:rsidRDefault="00A41E5F">
      <w:pPr>
        <w:rPr>
          <w:rFonts w:eastAsiaTheme="minorHAnsi"/>
        </w:rPr>
      </w:pPr>
    </w:p>
    <w:p w:rsidRPr="00B84F9F" w:rsidR="00A41E5F" w:rsidP="00A41E5F" w:rsidRDefault="00A41E5F">
      <w:pPr>
        <w:pStyle w:val="Heading3"/>
        <w:rPr>
          <w:rFonts w:eastAsiaTheme="minorHAnsi"/>
        </w:rPr>
      </w:pPr>
      <w:r w:rsidRPr="00B84F9F">
        <w:t>Θα πρέπει να θεσπιστεί ένα πρόγραμμα χρηματοδότησης για δημοσιογράφους, ερευνητές, ελεγκτές γεγονότων και οργανώσεις εποπτείας, καθώς και για την παρακολούθηση και την ανάληψη δράσεων με στόχο την αντιμετώπιση της εξάπλωσης της παραπληροφόρησης σχετικά με όλες τις πτυχές της δέσμης μέτρων για την ενίσχυση της δημοκρατίας και του αδιάβλητου των εκλογών. Θα πρέπει να παρασχεθεί επαρκής χρηματοδότηση για την ανάπτυξη και τη βελτίωση των ηλεκτρονικών δεξιοτήτων των πολιτών και την αντιμετώπιση λαϊκιστικών/ριζοσπαστικών «φουσκών», συμπεριλαμβανομένων εκείνων που προκύπτουν εξαιτίας της παραπληροφόρησης και άλλων τεχνικών τις οποίες χρησιμοποιούν τοπικοί πολιτικοί παράγοντες.</w:t>
      </w:r>
    </w:p>
    <w:p w:rsidRPr="00B84F9F" w:rsidR="00A41E5F" w:rsidP="00A41E5F" w:rsidRDefault="00A41E5F"/>
    <w:p w:rsidRPr="00B84F9F" w:rsidR="00A41E5F" w:rsidP="00A41E5F" w:rsidRDefault="00A41E5F">
      <w:pPr>
        <w:pStyle w:val="Heading3"/>
        <w:rPr>
          <w:rFonts w:eastAsiaTheme="minorHAnsi"/>
        </w:rPr>
      </w:pPr>
      <w:r w:rsidRPr="00B84F9F">
        <w:t>Ο σχεδιαζόμενος κοινός μηχανισμός για την εκλογική ανθεκτικότητα θα πρέπει να προβλέπει τη χρηματοδότηση, τη στήριξη και την παροχή εργαλείων για τη συνεργασία εμπειρογνωμόνων και τις εργασίες σχετικά με τη χρηματοδότηση προεκλογικών εκστρατειών. Καίρια σημασία έχουν επίσης η διαδικτυακή εγκληματολογία, η καταπολέμηση της παραπληροφόρησης και η κυβερνοασφάλεια των εκλογών.</w:t>
      </w:r>
    </w:p>
    <w:p w:rsidRPr="00B84F9F" w:rsidR="00A41E5F" w:rsidP="00A41E5F" w:rsidRDefault="00A41E5F"/>
    <w:p w:rsidRPr="00B84F9F" w:rsidR="00A41E5F" w:rsidP="00A41E5F" w:rsidRDefault="00A41E5F">
      <w:pPr>
        <w:pStyle w:val="Heading3"/>
        <w:rPr>
          <w:rFonts w:eastAsiaTheme="minorHAnsi"/>
        </w:rPr>
      </w:pPr>
      <w:r w:rsidRPr="00B84F9F">
        <w:t>Θα πρέπει να καταβληθούν περαιτέρω προσπάθειες για την άρση των εναπομεινάντων εμποδίων και για τη διασφάλιση της συμμετοχής χωρίς αποκλεισμούς στις εκλογές. Πιο συγκεκριμένα, θα πρέπει να καταβληθούν μεγαλύτερες προσπάθειες για τη βελτίωση της δημοκρατικής συμμετοχής των γυναικών, των πολιτών με αναπηρία, των νεότερων πολιτών και άλλων ομάδων. Θα πρέπει να αρθούν τα εμπόδια στην άσκηση του εκλογικού δικαιώματος των μετακινούμενών πολιτών της ΕΕ σε ορισμένα κράτη μέλη. Η άσκηση του εκλογικού δικαιώματος στη χώρα διαμονής ή ―όπου αυτό καθίσταται δυνατό σύμφωνα με το εθνικό και το ενωσιακό δίκαιο― στη χώρα καταγωγής, θα πρέπει να διευκολύνεται και να συντελεί στην αύξηση του ποσοστού συμμετοχής των μετακινούμενων πολιτών της ΕΕ. Δεν πρέπει να λησμονείται ότι περίπου 13,5 εκατομμύρια πολίτες της ΕΕ δεν ζουν στο κράτος μέλος καταγωγής τους.</w:t>
      </w:r>
    </w:p>
    <w:p w:rsidRPr="00B84F9F" w:rsidR="00A41E5F" w:rsidP="00A41E5F" w:rsidRDefault="00A41E5F">
      <w:pPr>
        <w:rPr>
          <w:rFonts w:eastAsiaTheme="minorHAnsi"/>
        </w:rPr>
      </w:pPr>
    </w:p>
    <w:p w:rsidRPr="00B84F9F" w:rsidR="00A41E5F" w:rsidP="00A41E5F" w:rsidRDefault="00A41E5F">
      <w:pPr>
        <w:pStyle w:val="Heading3"/>
        <w:rPr>
          <w:rFonts w:eastAsiaTheme="minorHAnsi"/>
        </w:rPr>
      </w:pPr>
      <w:r w:rsidRPr="00B84F9F">
        <w:t xml:space="preserve">Η ΕΟΚΕ σημειώνει ότι η εγγραφή των ατόμων που έχουν μετακομίσει σε άλλο κράτος μέλος της ΕΕ στους εκλογικούς καταλόγους θα πρέπει να απλουστευθεί και να εξορθολογιστεί, π.χ. μέσω ενιαίας/κοινής πλατφόρμας εγγραφής (όπου απαιτείται), διαθέσιμης σε όλες τις επίσημες γλώσσες της ΕΕ. Τα εκλογικά δικαιώματα των πολιτών της ΕΕ θα πρέπει να διασφαλίζονται επίσης σε περιφερειακό επίπεδο και άρα κρίνεται σκόπιμη η δημιουργία γραφείου εξυπηρέτησης για τη διασυνοριακή άσκηση των εν λόγω δικαιωμάτων. </w:t>
      </w:r>
    </w:p>
    <w:p w:rsidRPr="00B84F9F" w:rsidR="00A41E5F" w:rsidP="00A41E5F" w:rsidRDefault="00A41E5F">
      <w:pPr>
        <w:rPr>
          <w:rFonts w:eastAsiaTheme="minorHAnsi"/>
        </w:rPr>
      </w:pPr>
    </w:p>
    <w:p w:rsidRPr="00B84F9F" w:rsidR="00A41E5F" w:rsidP="00A41E5F" w:rsidRDefault="00A41E5F">
      <w:pPr>
        <w:pStyle w:val="Heading3"/>
        <w:rPr>
          <w:rFonts w:eastAsiaTheme="minorHAnsi"/>
        </w:rPr>
      </w:pPr>
      <w:r w:rsidRPr="00B84F9F">
        <w:t>Η ΕΟΚΕ τονίζει ότι εκατομμύρια πολίτες της ΕΕ εξακολουθούν να μην έχουν πραγματικό δικαίωμα ψήφου. Στην ενημερωτική έκθεση της ΕΟΚΕ με τίτλο «Τα πραγματικά δικαιώματα ψήφου των ατόμων με αναπηρία στις εκλογές του Ευρωπαϊκού Κοινοβουλίου» εκτίθενται τα πολυάριθμα νομικά ή τεχνικά εμπόδια που αντιμετωπίζουν οι πολίτες με αναπηρία της ΕΕ στα επί μέρους κράτη μέλη, με αποτέλεσμα να μην είναι σε θέση να ψηφίσουν παρότι θα το ήθελαν πραγματικά. Η ΕΟΚΕ επαναλαμβάνει το αίτημά της ―το οποίο διατυπώθηκε στη γνωμοδότησή της, της 2ας Δεκεμβρίου 2020, με θέμα «Η ανάγκη διασφάλισης πραγματικών δικαιωμάτων ψήφου για τα άτομα με αναπηρία στις εκλογές του Ευρωπαϊκού Κοινοβουλίου»― να επέλθουν επειγόντως νομικές αλλαγές που θα εγγυώνται πραγματικό δικαίωμα ψήφου σε όλους τους πολίτες της ΕΕ κατά τις εκλογές για το Ευρωπαϊκό Κοινοβούλιο το 2024.</w:t>
      </w:r>
    </w:p>
    <w:p w:rsidRPr="00B84F9F" w:rsidR="00A41E5F" w:rsidP="00A41E5F" w:rsidRDefault="00A41E5F">
      <w:pPr>
        <w:rPr>
          <w:rFonts w:eastAsiaTheme="minorHAnsi"/>
        </w:rPr>
      </w:pPr>
    </w:p>
    <w:p w:rsidRPr="00B84F9F" w:rsidR="00A41E5F" w:rsidP="00A41E5F" w:rsidRDefault="00A41E5F">
      <w:pPr>
        <w:pStyle w:val="Heading3"/>
        <w:rPr>
          <w:rFonts w:eastAsiaTheme="minorHAnsi"/>
        </w:rPr>
      </w:pPr>
      <w:r w:rsidRPr="00B84F9F">
        <w:t>Η ενθάρρυνση των μεμονωμένων ατόμων να γίνουν μέλη όλων των ευρωπαϊκών πολιτικών κομμάτων θα τους δώσει την ευκαιρία να επηρεάσουν άμεσα συζητήσεις σε επίπεδο ΕΕ και να συμβάλουν στη διεξαγωγή τους.</w:t>
      </w:r>
    </w:p>
    <w:p w:rsidRPr="00B84F9F" w:rsidR="00A41E5F" w:rsidP="00A41E5F" w:rsidRDefault="00A41E5F"/>
    <w:p w:rsidRPr="00B84F9F" w:rsidR="00A41E5F" w:rsidP="00A41E5F" w:rsidRDefault="00A41E5F">
      <w:pPr>
        <w:pStyle w:val="Heading3"/>
      </w:pPr>
      <w:r w:rsidRPr="00B84F9F">
        <w:t xml:space="preserve">Οι πολίτες θα πρέπει να είναι σε θέση να κατανοούν σαφώς ποια εθνικά πολιτικά κόμματα διατηρούν ή προτίθενται να αναπτύξουν δεσμούς με ευρωπαϊκά πολιτικά κόμματα, πράγμα το οποίο έχει ιδιαίτερη σημασία πριν από τις εκλογές. </w:t>
      </w:r>
    </w:p>
    <w:p w:rsidRPr="00B84F9F" w:rsidR="00A41E5F" w:rsidP="00A41E5F" w:rsidRDefault="00A41E5F"/>
    <w:p w:rsidRPr="00B84F9F" w:rsidR="00A41E5F" w:rsidP="00A41E5F" w:rsidRDefault="00A41E5F">
      <w:pPr>
        <w:pStyle w:val="Heading3"/>
        <w:keepNext/>
        <w:keepLines/>
      </w:pPr>
      <w:r w:rsidRPr="00B84F9F">
        <w:t>Η ΕΟΚΕ υποστηρίζει διάφορες προτάσεις που διατύπωσε η δεύτερη ομάδα πολιτών της Διάσκεψης για το μέλλον της Ευρώπης, η οποία ασχολείται με θέματα σχετικά με την ευρωπαϊκή δημοκρατία, τις αξίες, τα δικαιώματα, το κράτος δικαίου και την ασφάλεια</w:t>
      </w:r>
      <w:r w:rsidRPr="00B84F9F">
        <w:rPr>
          <w:rStyle w:val="FootnoteReference"/>
          <w:rFonts w:eastAsiaTheme="minorHAnsi"/>
        </w:rPr>
        <w:footnoteReference w:id="6"/>
      </w:r>
      <w:r w:rsidRPr="00B84F9F">
        <w:t>, όπως την πρόταση που αποσκοπεί στην εναρμόνιση των προϋποθέσεων εκλογής στο Ευρωπαϊκό Κοινοβούλιο (εκλογική ενηλικιότητα, ημερομηνία διεξαγωγής των εκλογών, απαιτήσεις όσον αφορά τις εκλογικές περιφέρειες, τους υποψηφίους και τα πολιτικά κόμματα και τη χρηματοδότησή τους) και στην παροχή μεγαλύτερης έμφασης στην παιδεία και στις ικανότητες, π.χ. στην προστασία των δεδομένων, στη δημοκρατία, καθώς και στον εντοπισμό και την καταπολέμηση φαινομένων λαϊκισμού.</w:t>
      </w:r>
    </w:p>
    <w:p w:rsidRPr="00B84F9F" w:rsidR="008C6CC9" w:rsidP="00A41E5F" w:rsidRDefault="008C6CC9">
      <w:pPr>
        <w:keepNext/>
        <w:keepLines/>
      </w:pPr>
    </w:p>
    <w:p w:rsidRPr="00B84F9F" w:rsidR="00A41E5F" w:rsidP="00A41E5F" w:rsidRDefault="00A41E5F">
      <w:pPr>
        <w:keepNext/>
        <w:keepLines/>
      </w:pPr>
      <w:r w:rsidRPr="00B84F9F">
        <w:t>Βρυξέλλες, 23 Φεβρουαρίου 2022</w:t>
      </w:r>
    </w:p>
    <w:p w:rsidRPr="00B84F9F" w:rsidR="00A41E5F" w:rsidP="00A41E5F" w:rsidRDefault="00A41E5F">
      <w:pPr>
        <w:keepNext/>
        <w:keepLines/>
      </w:pPr>
    </w:p>
    <w:p w:rsidRPr="00B84F9F" w:rsidR="00A41E5F" w:rsidP="00A41E5F" w:rsidRDefault="00A41E5F">
      <w:pPr>
        <w:keepNext/>
        <w:keepLines/>
      </w:pPr>
    </w:p>
    <w:p w:rsidRPr="00B84F9F" w:rsidR="00A41E5F" w:rsidP="00A41E5F" w:rsidRDefault="00A41E5F">
      <w:pPr>
        <w:keepNext/>
        <w:keepLines/>
      </w:pPr>
    </w:p>
    <w:p w:rsidRPr="00B84F9F" w:rsidR="00A41E5F" w:rsidP="00A41E5F" w:rsidRDefault="00A41E5F">
      <w:pPr>
        <w:keepNext/>
        <w:keepLines/>
      </w:pPr>
      <w:r w:rsidRPr="00B84F9F">
        <w:t>Christa Schweng</w:t>
      </w:r>
    </w:p>
    <w:p w:rsidRPr="00B84F9F" w:rsidR="00E2376B" w:rsidP="00E2376B" w:rsidRDefault="00A41E5F">
      <w:r w:rsidRPr="00B84F9F">
        <w:t>Πρόεδρος της Ευρωπαϊκής Οικονομικής και Κοινωνικής Επιτροπής</w:t>
      </w:r>
    </w:p>
    <w:p w:rsidRPr="00B84F9F" w:rsidR="00F53370" w:rsidP="00DB7F50" w:rsidRDefault="00E2376B">
      <w:pPr>
        <w:jc w:val="center"/>
      </w:pPr>
      <w:r w:rsidRPr="00B84F9F">
        <w:t>_____________</w:t>
      </w:r>
    </w:p>
    <w:sectPr w:rsidRPr="00B84F9F" w:rsidR="00F53370" w:rsidSect="001E74A1">
      <w:headerReference w:type="default" r:id="rId18"/>
      <w:footerReference w:type="default" r:id="rId19"/>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9F" w:rsidRDefault="00F2069F" w:rsidP="00F53370">
      <w:pPr>
        <w:spacing w:line="240" w:lineRule="auto"/>
      </w:pPr>
      <w:r>
        <w:separator/>
      </w:r>
    </w:p>
  </w:endnote>
  <w:endnote w:type="continuationSeparator" w:id="0">
    <w:p w:rsidR="00F2069F" w:rsidRDefault="00F2069F"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5C" w:rsidRPr="003065C9" w:rsidRDefault="00D57CF5" w:rsidP="00D57CF5">
    <w:pPr>
      <w:pStyle w:val="Footer"/>
      <w:jc w:val="left"/>
    </w:pPr>
    <w:r>
      <w:t xml:space="preserve">SOC/713 – EESC-2021-06449-00-00-AC-TRA (EN) </w:t>
    </w:r>
    <w:r>
      <w:fldChar w:fldCharType="begin"/>
    </w:r>
    <w:r>
      <w:instrText xml:space="preserve"> PAGE  \* Arabic  \* MERGEFORMAT </w:instrText>
    </w:r>
    <w:r>
      <w:fldChar w:fldCharType="separate"/>
    </w:r>
    <w:r w:rsidR="000B0940">
      <w:rPr>
        <w:noProof/>
      </w:rPr>
      <w:t>10</w:t>
    </w:r>
    <w:r>
      <w:fldChar w:fldCharType="end"/>
    </w:r>
    <w:r>
      <w:t>/</w:t>
    </w:r>
    <w:r>
      <w:fldChar w:fldCharType="begin"/>
    </w:r>
    <w:r>
      <w:instrText xml:space="preserve"> = </w:instrText>
    </w:r>
    <w:fldSimple w:instr=" NUMPAGES ">
      <w:r w:rsidR="000B0940">
        <w:rPr>
          <w:noProof/>
        </w:rPr>
        <w:instrText>12</w:instrText>
      </w:r>
    </w:fldSimple>
    <w:r>
      <w:instrText xml:space="preserve"> - 2 </w:instrText>
    </w:r>
    <w:r>
      <w:fldChar w:fldCharType="separate"/>
    </w:r>
    <w:r w:rsidR="000B094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9F" w:rsidRDefault="00F2069F" w:rsidP="00F53370">
      <w:pPr>
        <w:spacing w:line="240" w:lineRule="auto"/>
      </w:pPr>
      <w:r>
        <w:separator/>
      </w:r>
    </w:p>
  </w:footnote>
  <w:footnote w:type="continuationSeparator" w:id="0">
    <w:p w:rsidR="00F2069F" w:rsidRDefault="00F2069F" w:rsidP="00F53370">
      <w:pPr>
        <w:spacing w:line="240" w:lineRule="auto"/>
      </w:pPr>
      <w:r>
        <w:continuationSeparator/>
      </w:r>
    </w:p>
  </w:footnote>
  <w:footnote w:id="1">
    <w:p w:rsidR="00A41E5F" w:rsidRPr="00B84F9F" w:rsidRDefault="00A41E5F" w:rsidP="00A41E5F">
      <w:pPr>
        <w:pStyle w:val="FootnoteText"/>
      </w:pPr>
      <w:r w:rsidRPr="00B84F9F">
        <w:rPr>
          <w:rStyle w:val="FootnoteReference"/>
        </w:rPr>
        <w:footnoteRef/>
      </w:r>
      <w:r w:rsidRPr="00B84F9F">
        <w:tab/>
        <w:t xml:space="preserve">COM(2021) 730 final: </w:t>
      </w:r>
      <w:hyperlink r:id="rId1" w:history="1">
        <w:r w:rsidRPr="00B84F9F">
          <w:rPr>
            <w:rStyle w:val="Hyperlink"/>
          </w:rPr>
          <w:t>Προστασία της ακεραιότητας των εκλογών και προώθηση της δημοκρατικής συμμετοχής</w:t>
        </w:r>
      </w:hyperlink>
    </w:p>
  </w:footnote>
  <w:footnote w:id="2">
    <w:p w:rsidR="00A41E5F" w:rsidRPr="00B84F9F" w:rsidRDefault="00A41E5F" w:rsidP="00A41E5F">
      <w:pPr>
        <w:pStyle w:val="FootnoteText"/>
      </w:pPr>
      <w:r w:rsidRPr="00B84F9F">
        <w:rPr>
          <w:rStyle w:val="FootnoteReference"/>
        </w:rPr>
        <w:footnoteRef/>
      </w:r>
      <w:r w:rsidRPr="00B84F9F">
        <w:tab/>
        <w:t xml:space="preserve">COM(2021) 730 final: </w:t>
      </w:r>
      <w:hyperlink r:id="rId2" w:history="1">
        <w:r w:rsidRPr="00B84F9F">
          <w:rPr>
            <w:rStyle w:val="Hyperlink"/>
          </w:rPr>
          <w:t>Προστασία της ακεραιότητας των εκλογών και προώθηση της δημοκρατικής συμμετοχής</w:t>
        </w:r>
      </w:hyperlink>
    </w:p>
  </w:footnote>
  <w:footnote w:id="3">
    <w:p w:rsidR="00A41E5F" w:rsidRPr="00B84F9F" w:rsidRDefault="00A41E5F" w:rsidP="00A41E5F">
      <w:pPr>
        <w:pStyle w:val="FootnoteText"/>
      </w:pPr>
      <w:r w:rsidRPr="00B84F9F">
        <w:rPr>
          <w:rStyle w:val="FootnoteReference"/>
        </w:rPr>
        <w:footnoteRef/>
      </w:r>
      <w:r w:rsidRPr="00B84F9F">
        <w:tab/>
      </w:r>
      <w:hyperlink r:id="rId3" w:history="1">
        <w:r w:rsidRPr="00B84F9F">
          <w:rPr>
            <w:rStyle w:val="Hyperlink"/>
          </w:rPr>
          <w:t>Γνωμοδότηση της ΕΟΚΕ σχετικά με το ευρωπαϊκό σχέδιο δράσης για τη δημοκρατία</w:t>
        </w:r>
      </w:hyperlink>
    </w:p>
  </w:footnote>
  <w:footnote w:id="4">
    <w:p w:rsidR="00A41E5F" w:rsidRPr="00B84F9F" w:rsidRDefault="00A41E5F" w:rsidP="00A41E5F">
      <w:pPr>
        <w:pStyle w:val="FootnoteText"/>
      </w:pPr>
      <w:r w:rsidRPr="00B84F9F">
        <w:rPr>
          <w:rStyle w:val="FootnoteReference"/>
        </w:rPr>
        <w:footnoteRef/>
      </w:r>
      <w:r w:rsidRPr="00B84F9F">
        <w:tab/>
      </w:r>
      <w:hyperlink r:id="rId4" w:history="1">
        <w:r w:rsidRPr="00B84F9F">
          <w:rPr>
            <w:rStyle w:val="Hyperlink"/>
          </w:rPr>
          <w:t>Special Eurobarometer 507: Democracy in the EU</w:t>
        </w:r>
      </w:hyperlink>
      <w:r w:rsidRPr="00B84F9F">
        <w:t xml:space="preserve"> (Ειδικό Ευρωβαρόμετρο 507: Η δημοκρατία στην ΕΕ)</w:t>
      </w:r>
    </w:p>
  </w:footnote>
  <w:footnote w:id="5">
    <w:p w:rsidR="00A41E5F" w:rsidRPr="00B84F9F" w:rsidRDefault="00A41E5F" w:rsidP="00A41E5F">
      <w:pPr>
        <w:pStyle w:val="FootnoteText"/>
      </w:pPr>
      <w:r w:rsidRPr="00B84F9F">
        <w:rPr>
          <w:rStyle w:val="FootnoteReference"/>
        </w:rPr>
        <w:footnoteRef/>
      </w:r>
      <w:r w:rsidRPr="00B84F9F">
        <w:tab/>
      </w:r>
      <w:hyperlink r:id="rId5" w:history="1">
        <w:r w:rsidRPr="00B84F9F">
          <w:rPr>
            <w:rStyle w:val="Hyperlink"/>
          </w:rPr>
          <w:t>Σχέδιο δράσης για την εφαρμογή του άρθρου 11</w:t>
        </w:r>
      </w:hyperlink>
      <w:r w:rsidRPr="00B84F9F">
        <w:t>.</w:t>
      </w:r>
    </w:p>
  </w:footnote>
  <w:footnote w:id="6">
    <w:p w:rsidR="00A41E5F" w:rsidRPr="00B84F9F" w:rsidRDefault="00A41E5F" w:rsidP="00A41E5F">
      <w:pPr>
        <w:pStyle w:val="FootnoteText"/>
      </w:pPr>
      <w:r w:rsidRPr="00B84F9F">
        <w:rPr>
          <w:rStyle w:val="FootnoteReference"/>
        </w:rPr>
        <w:footnoteRef/>
      </w:r>
      <w:r w:rsidRPr="00B84F9F">
        <w:tab/>
      </w:r>
      <w:hyperlink r:id="rId6" w:history="1">
        <w:r w:rsidRPr="00B84F9F">
          <w:rPr>
            <w:rStyle w:val="Hyperlink"/>
          </w:rPr>
          <w:t>2η ομάδα – Ομάδες Ευρωπαίων πολιτών – Διάσκεψη για το μέλλον της Ευρώπης</w:t>
        </w:r>
      </w:hyperlink>
      <w:r w:rsidRPr="00B84F9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1E0C8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E27707">
    <w:pPr>
      <w:pStyle w:val="Header"/>
    </w:pPr>
    <w:r>
      <w:rPr>
        <w:noProof/>
        <w:lang w:val="en-US"/>
      </w:rPr>
      <w:drawing>
        <wp:anchor distT="0" distB="0" distL="114300" distR="114300" simplePos="0" relativeHeight="251659264" behindDoc="0" locked="0" layoutInCell="1" allowOverlap="1" wp14:anchorId="60B38282" wp14:editId="61A28CE4">
          <wp:simplePos x="898497" y="453224"/>
          <wp:positionH relativeFrom="page">
            <wp:align>center</wp:align>
          </wp:positionH>
          <wp:positionV relativeFrom="page">
            <wp:posOffset>288290</wp:posOffset>
          </wp:positionV>
          <wp:extent cx="6944398" cy="3344275"/>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1E0C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6"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1E0C8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1E0C8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574C9B">
    <w:pPr>
      <w:pStyle w:val="Header"/>
    </w:pPr>
    <w:r>
      <w:rPr>
        <w:noProof/>
        <w:lang w:val="en-US"/>
      </w:rPr>
      <w:drawing>
        <wp:anchor distT="0" distB="0" distL="114300" distR="114300" simplePos="0" relativeHeight="251665408" behindDoc="1" locked="0" layoutInCell="1" allowOverlap="1" wp14:anchorId="3403F499" wp14:editId="16CB6F6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1E0C8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8F8" w:rsidRDefault="001E0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DFEB5E8"/>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9E947C0"/>
    <w:multiLevelType w:val="hybridMultilevel"/>
    <w:tmpl w:val="6418860C"/>
    <w:lvl w:ilvl="0" w:tplc="080C001B">
      <w:start w:val="1"/>
      <w:numFmt w:val="lowerRoman"/>
      <w:lvlText w:val="%1."/>
      <w:lvlJc w:val="right"/>
      <w:pPr>
        <w:ind w:left="720" w:hanging="360"/>
      </w:pPr>
    </w:lvl>
    <w:lvl w:ilvl="1" w:tplc="FB241A9A">
      <w:start w:val="1"/>
      <w:numFmt w:val="lowerRoman"/>
      <w:lvlText w:val="%2."/>
      <w:lvlJc w:val="left"/>
      <w:pPr>
        <w:ind w:left="1800" w:hanging="720"/>
      </w:pPr>
      <w:rPr>
        <w:rFonts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7287BC8"/>
    <w:multiLevelType w:val="hybridMultilevel"/>
    <w:tmpl w:val="6418860C"/>
    <w:lvl w:ilvl="0" w:tplc="080C001B">
      <w:start w:val="1"/>
      <w:numFmt w:val="lowerRoman"/>
      <w:lvlText w:val="%1."/>
      <w:lvlJc w:val="right"/>
      <w:pPr>
        <w:ind w:left="720" w:hanging="360"/>
      </w:pPr>
    </w:lvl>
    <w:lvl w:ilvl="1" w:tplc="FB241A9A">
      <w:start w:val="1"/>
      <w:numFmt w:val="lowerRoman"/>
      <w:lvlText w:val="%2."/>
      <w:lvlJc w:val="left"/>
      <w:pPr>
        <w:ind w:left="1800" w:hanging="720"/>
      </w:pPr>
      <w:rPr>
        <w:rFonts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F371A60"/>
    <w:multiLevelType w:val="hybridMultilevel"/>
    <w:tmpl w:val="47CCAE7A"/>
    <w:lvl w:ilvl="0" w:tplc="080C001B">
      <w:start w:val="1"/>
      <w:numFmt w:val="lowerRoman"/>
      <w:lvlText w:val="%1."/>
      <w:lvlJc w:val="right"/>
      <w:pPr>
        <w:ind w:left="720" w:hanging="360"/>
      </w:pPr>
    </w:lvl>
    <w:lvl w:ilvl="1" w:tplc="FB241A9A">
      <w:start w:val="1"/>
      <w:numFmt w:val="lowerRoman"/>
      <w:lvlText w:val="%2."/>
      <w:lvlJc w:val="left"/>
      <w:pPr>
        <w:ind w:left="1800" w:hanging="720"/>
      </w:pPr>
      <w:rPr>
        <w:rFonts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D8E277F"/>
    <w:multiLevelType w:val="hybridMultilevel"/>
    <w:tmpl w:val="E6503BE2"/>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7C33D04"/>
    <w:multiLevelType w:val="hybridMultilevel"/>
    <w:tmpl w:val="E6503BE2"/>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70"/>
    <w:rsid w:val="00020389"/>
    <w:rsid w:val="00053D00"/>
    <w:rsid w:val="000A0F3B"/>
    <w:rsid w:val="000B0940"/>
    <w:rsid w:val="0012513A"/>
    <w:rsid w:val="0019231D"/>
    <w:rsid w:val="001D61AC"/>
    <w:rsid w:val="001E15AA"/>
    <w:rsid w:val="00207C77"/>
    <w:rsid w:val="00214BDC"/>
    <w:rsid w:val="00215E81"/>
    <w:rsid w:val="0024727F"/>
    <w:rsid w:val="00256327"/>
    <w:rsid w:val="002B6A7B"/>
    <w:rsid w:val="003353D7"/>
    <w:rsid w:val="003659F9"/>
    <w:rsid w:val="003950FE"/>
    <w:rsid w:val="003B3274"/>
    <w:rsid w:val="00436694"/>
    <w:rsid w:val="004F7915"/>
    <w:rsid w:val="00574C9B"/>
    <w:rsid w:val="0058411F"/>
    <w:rsid w:val="005A7D8B"/>
    <w:rsid w:val="00604F1C"/>
    <w:rsid w:val="006125A1"/>
    <w:rsid w:val="00653E7D"/>
    <w:rsid w:val="00662207"/>
    <w:rsid w:val="00667F09"/>
    <w:rsid w:val="006B57A6"/>
    <w:rsid w:val="00787837"/>
    <w:rsid w:val="00787ABB"/>
    <w:rsid w:val="00822952"/>
    <w:rsid w:val="00834768"/>
    <w:rsid w:val="00836505"/>
    <w:rsid w:val="00844B87"/>
    <w:rsid w:val="008A3A8A"/>
    <w:rsid w:val="008A6DD4"/>
    <w:rsid w:val="008C6CC9"/>
    <w:rsid w:val="008F74D7"/>
    <w:rsid w:val="00904C42"/>
    <w:rsid w:val="00924C05"/>
    <w:rsid w:val="00927669"/>
    <w:rsid w:val="00937CF2"/>
    <w:rsid w:val="00976645"/>
    <w:rsid w:val="0098228C"/>
    <w:rsid w:val="009F0CBC"/>
    <w:rsid w:val="00A36AB0"/>
    <w:rsid w:val="00A41E5F"/>
    <w:rsid w:val="00AB37A3"/>
    <w:rsid w:val="00AC5114"/>
    <w:rsid w:val="00B51901"/>
    <w:rsid w:val="00B84F9F"/>
    <w:rsid w:val="00C073E1"/>
    <w:rsid w:val="00C66AEA"/>
    <w:rsid w:val="00C9040A"/>
    <w:rsid w:val="00C91E4D"/>
    <w:rsid w:val="00CB110A"/>
    <w:rsid w:val="00D31DCD"/>
    <w:rsid w:val="00D57CF5"/>
    <w:rsid w:val="00D95232"/>
    <w:rsid w:val="00DB7F50"/>
    <w:rsid w:val="00DE30C7"/>
    <w:rsid w:val="00DF400F"/>
    <w:rsid w:val="00E15BF4"/>
    <w:rsid w:val="00E2376B"/>
    <w:rsid w:val="00E27707"/>
    <w:rsid w:val="00E661B7"/>
    <w:rsid w:val="00EC013C"/>
    <w:rsid w:val="00F2069F"/>
    <w:rsid w:val="00F53370"/>
    <w:rsid w:val="00F90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paragraph" w:styleId="ListParagraph">
    <w:name w:val="List Paragraph"/>
    <w:basedOn w:val="Normal"/>
    <w:uiPriority w:val="34"/>
    <w:qFormat/>
    <w:rsid w:val="00A41E5F"/>
    <w:pPr>
      <w:ind w:left="720"/>
      <w:contextualSpacing/>
    </w:pPr>
  </w:style>
  <w:style w:type="character" w:styleId="FollowedHyperlink">
    <w:name w:val="FollowedHyperlink"/>
    <w:basedOn w:val="DefaultParagraphFont"/>
    <w:uiPriority w:val="99"/>
    <w:semiHidden/>
    <w:unhideWhenUsed/>
    <w:rsid w:val="00604F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4.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L/TXT/?uri=CELEX:52021AE1173&amp;qid=1643268565023" TargetMode="External"/><Relationship Id="rId2" Type="http://schemas.openxmlformats.org/officeDocument/2006/relationships/hyperlink" Target="https://eur-lex.europa.eu/legal-content/EL/TXT/?uri=CELEX:52021DC0730&amp;qid=1641458297031" TargetMode="External"/><Relationship Id="rId1" Type="http://schemas.openxmlformats.org/officeDocument/2006/relationships/hyperlink" Target="https://eur-lex.europa.eu/legal-content/EL/TXT/?uri=CELEX:52021DC0730&amp;qid=1641458297031" TargetMode="External"/><Relationship Id="rId6" Type="http://schemas.openxmlformats.org/officeDocument/2006/relationships/hyperlink" Target="https://futureu.europa.eu/assemblies/citizens-panels/f/299/?locale=el" TargetMode="External"/><Relationship Id="rId5" Type="http://schemas.openxmlformats.org/officeDocument/2006/relationships/hyperlink" Target="https://www.eesc.europa.eu/sites/default/files/files/action_plan_for_the_implementation_for_article_11.pdf" TargetMode="External"/><Relationship Id="rId4" Type="http://schemas.openxmlformats.org/officeDocument/2006/relationships/hyperlink" Target="https://data.europa.eu/data/datasets/s2263_94_1_507_eng?locale=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7A184961CA3BCC409E63490A5731B7C1" ma:contentTypeVersion="6" ma:contentTypeDescription="Defines the documents for Document Manager V2" ma:contentTypeScope="" ma:versionID="e9164daa45cd8250295feb880b202949">
  <xsd:schema xmlns:xsd="http://www.w3.org/2001/XMLSchema" xmlns:xs="http://www.w3.org/2001/XMLSchema" xmlns:p="http://schemas.microsoft.com/office/2006/metadata/properties" xmlns:ns2="01cfe264-354f-4f3f-acd0-cf26eb309336" xmlns:ns3="http://schemas.microsoft.com/sharepoint/v3/fields" xmlns:ns4="53daa8a9-63dd-4d37-a72b-9bba3a7fe6a7" targetNamespace="http://schemas.microsoft.com/office/2006/metadata/properties" ma:root="true" ma:fieldsID="0265e706444e5b50bbabaf5c979bad9c" ns2:_="" ns3:_="" ns4:_="">
    <xsd:import namespace="01cfe264-354f-4f3f-acd0-cf26eb309336"/>
    <xsd:import namespace="http://schemas.microsoft.com/sharepoint/v3/fields"/>
    <xsd:import namespace="53daa8a9-63dd-4d37-a72b-9bba3a7fe6a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aa8a9-63dd-4d37-a72b-9bba3a7fe6a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V63NAVDT5PV3-133372120-3505</_dlc_DocId>
    <_dlc_DocIdUrl xmlns="01cfe264-354f-4f3f-acd0-cf26eb309336">
      <Url>http://dm2016/eesc/2021/_layouts/15/DocIdRedir.aspx?ID=V63NAVDT5PV3-133372120-3505</Url>
      <Description>V63NAVDT5PV3-133372120-3505</Description>
    </_dlc_DocIdUrl>
    <Procedure xmlns="01cfe264-354f-4f3f-acd0-cf26eb309336">2021/0381(COD)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2022-02-24T12:00:00+00:00</ProductionDate>
    <DocumentNumber xmlns="53daa8a9-63dd-4d37-a72b-9bba3a7fe6a7">6449</DocumentNumber>
    <FicheYear xmlns="01cfe264-354f-4f3f-acd0-cf26eb309336" xsi:nil="true"/>
    <DocumentVersion xmlns="01cfe264-354f-4f3f-acd0-cf26eb309336">0</DocumentVersion>
    <DossierNumber xmlns="01cfe264-354f-4f3f-acd0-cf26eb309336">713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86</Value>
      <Value>58</Value>
      <Value>51</Value>
      <Value>45</Value>
      <Value>42</Value>
      <Value>41</Value>
      <Value>40</Value>
      <Value>39</Value>
      <Value>38</Value>
      <Value>37</Value>
      <Value>35</Value>
      <Value>28</Value>
      <Value>25</Value>
      <Value>21</Value>
      <Value>19</Value>
      <Value>18</Value>
      <Value>17</Value>
      <Value>16</Value>
      <Value>15</Value>
      <Value>14</Value>
      <Value>13</Value>
      <Value>12</Value>
      <Value>11</Value>
      <Value>9</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01cfe264-354f-4f3f-acd0-cf26eb309336">TRINDADE &amp; GOBIŅŠ</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01cfe264-354f-4f3f-acd0-cf26eb309336">2021</DocumentYear>
    <FicheNumber xmlns="01cfe264-354f-4f3f-acd0-cf26eb309336">2195</FicheNumber>
    <OriginalSender xmlns="01cfe264-354f-4f3f-acd0-cf26eb309336">
      <UserInfo>
        <DisplayName>Vassilaki Zoitsa</DisplayName>
        <AccountId>1941</AccountId>
        <AccountType/>
      </UserInfo>
    </OriginalSender>
    <DocumentPart xmlns="01cfe264-354f-4f3f-acd0-cf26eb309336">0</DocumentPart>
    <AdoptionDate xmlns="01cfe264-354f-4f3f-acd0-cf26eb309336">2022-02-23T12:00:00+00:00</AdoptionDate>
    <RequestingService xmlns="01cfe264-354f-4f3f-acd0-cf26eb309336">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53daa8a9-63dd-4d37-a72b-9bba3a7fe6a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Props1.xml><?xml version="1.0" encoding="utf-8"?>
<ds:datastoreItem xmlns:ds="http://schemas.openxmlformats.org/officeDocument/2006/customXml" ds:itemID="{05FA6BEE-5034-4838-808B-733718376D56}"/>
</file>

<file path=customXml/itemProps2.xml><?xml version="1.0" encoding="utf-8"?>
<ds:datastoreItem xmlns:ds="http://schemas.openxmlformats.org/officeDocument/2006/customXml" ds:itemID="{49AD43BA-D45A-43C7-BE0C-7F96C0DC818F}"/>
</file>

<file path=customXml/itemProps3.xml><?xml version="1.0" encoding="utf-8"?>
<ds:datastoreItem xmlns:ds="http://schemas.openxmlformats.org/officeDocument/2006/customXml" ds:itemID="{B078C3E8-370F-4840-B1AA-1D2AB082CB5F}"/>
</file>

<file path=customXml/itemProps4.xml><?xml version="1.0" encoding="utf-8"?>
<ds:datastoreItem xmlns:ds="http://schemas.openxmlformats.org/officeDocument/2006/customXml" ds:itemID="{6EE93C3B-8497-49CD-89B0-F2D242629ADC}"/>
</file>

<file path=docProps/app.xml><?xml version="1.0" encoding="utf-8"?>
<Properties xmlns="http://schemas.openxmlformats.org/officeDocument/2006/extended-properties" xmlns:vt="http://schemas.openxmlformats.org/officeDocument/2006/docPropsVTypes">
  <Template>Normal</Template>
  <TotalTime>5</TotalTime>
  <Pages>12</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EESC Cover page AC - New template</vt:lpstr>
    </vt:vector>
  </TitlesOfParts>
  <Company>CESE-CdR</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Δέσμη μέτρων για την ενίσχυση της δημοκρατίας και του αδιάβλητου των εκλογών</dc:title>
  <dc:subject>AC</dc:subject>
  <dc:creator>Francois Aude</dc:creator>
  <cp:keywords>EESC-2021-06449-00-00-AC-TRA-EN</cp:keywords>
  <dc:description>Rapporteur: TRINDADE &amp; GOBIŅŠ - Original language: EN - Date of document: 24-02-2022 - Date of meeting:  - External documents: COM(2021)731- final - Administrator:  ROGUE Jean-Marie</dc:description>
  <cp:lastModifiedBy>Vassilaki Zoitsa</cp:lastModifiedBy>
  <cp:revision>11</cp:revision>
  <dcterms:created xsi:type="dcterms:W3CDTF">2022-02-23T16:00:00Z</dcterms:created>
  <dcterms:modified xsi:type="dcterms:W3CDTF">2022-02-24T07:45:00Z</dcterms:modified>
  <cp:category>SOC/713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2" name="Pref_formatted">
    <vt:bool>true</vt:bool>
  </property>
  <property fmtid="{D5CDD505-2E9C-101B-9397-08002B2CF9AE}" pid="33" name="Pref_Date">
    <vt:lpwstr>23/02/2022</vt:lpwstr>
  </property>
  <property fmtid="{D5CDD505-2E9C-101B-9397-08002B2CF9AE}" pid="34" name="Pref_Time">
    <vt:lpwstr>16:59:27</vt:lpwstr>
  </property>
  <property fmtid="{D5CDD505-2E9C-101B-9397-08002B2CF9AE}" pid="35" name="Pref_User">
    <vt:lpwstr>amett</vt:lpwstr>
  </property>
  <property fmtid="{D5CDD505-2E9C-101B-9397-08002B2CF9AE}" pid="36" name="Pref_FileName">
    <vt:lpwstr>EESC-2021-06449-00-00-AC-ORI.docx</vt:lpwstr>
  </property>
  <property fmtid="{D5CDD505-2E9C-101B-9397-08002B2CF9AE}" pid="37" name="ContentTypeId">
    <vt:lpwstr>0x010100EA97B91038054C99906057A708A1480A007A184961CA3BCC409E63490A5731B7C1</vt:lpwstr>
  </property>
  <property fmtid="{D5CDD505-2E9C-101B-9397-08002B2CF9AE}" pid="38" name="_dlc_DocIdItemGuid">
    <vt:lpwstr>6a75e7ca-618d-4ee0-9654-702ce7c8b81d</vt:lpwstr>
  </property>
  <property fmtid="{D5CDD505-2E9C-101B-9397-08002B2CF9AE}" pid="39" name="Procedure">
    <vt:lpwstr>2021/0381(COD)</vt:lpwstr>
  </property>
  <property fmtid="{D5CDD505-2E9C-101B-9397-08002B2CF9AE}" pid="40" name="AvailableTranslations">
    <vt:lpwstr>17;#NL|55c6556c-b4f4-441d-9acf-c498d4f838bd;#12;#DA|5d49c027-8956-412b-aa16-e85a0f96ad0e;#13;#PT|50ccc04a-eadd-42ae-a0cb-acaf45f812ba;#14;#ET|ff6c3f4c-b02c-4c3c-ab07-2c37995a7a0a;#15;#LT|a7ff5ce7-6123-4f68-865a-a57c31810414;#11;#DE|f6b31e5a-26fa-4935-b661-318e46daf27e;#41;#BG|1a1b3951-7821-4e6a-85f5-5673fc08bd2c;#28;#ES|e7a6b05b-ae16-40c8-add9-68b64b03aeba;#4;#FR|d2afafd3-4c81-4f60-8f52-ee33f2f54ff3;#39;#SL|98a412ae-eb01-49e9-ae3d-585a81724cfc;#38;#HR|2f555653-ed1a-4fe6-8362-9082d95989e5;#9;#EN|f2175f21-25d7-44a3-96da-d6a61b075e1b;#37;#EL|6d4f4d51-af9b-4650-94b4-4276bee85c91;#25;#CS|72f9705b-0217-4fd3-bea2-cbc7ed80e26e;#42;#FI|87606a43-d45f-42d6-b8c9-e1a3457db5b7;#45;#RO|feb747a2-64cd-4299-af12-4833ddc30497;#19;#SK|46d9fce0-ef79-4f71-b89b-cd6aa82426b8;#35;#PL|1e03da61-4678-4e07-b136-b5024ca9197b;#21;#HU|6b229040-c589-4408-b4c1-4285663d20a8;#40;#SV|c2ed69e7-a339-43d7-8f22-d93680a92aa0;#16;#IT|0774613c-01ed-4e5d-a25d-11d2388de825;#58;#MT|7df99101-6854-4a26-b53a-b88c0da02c26;#18;#LV|46f7e311-5d9f-4663-b433-18aeccb7ace7</vt:lpwstr>
  </property>
  <property fmtid="{D5CDD505-2E9C-101B-9397-08002B2CF9AE}" pid="41" name="DocumentType_0">
    <vt:lpwstr>AC|a4cc1d15-fb08-4679-ad46-e4e0cba5fe92</vt:lpwstr>
  </property>
  <property fmtid="{D5CDD505-2E9C-101B-9397-08002B2CF9AE}" pid="42" name="DossierName_0">
    <vt:lpwstr>SOC|13795804-ecbd-4ce5-9693-9b8be1981b20</vt:lpwstr>
  </property>
  <property fmtid="{D5CDD505-2E9C-101B-9397-08002B2CF9AE}" pid="43" name="DocumentSource_0">
    <vt:lpwstr>EESC|422833ec-8d7e-4e65-8e4e-8bed07ffb729</vt:lpwstr>
  </property>
  <property fmtid="{D5CDD505-2E9C-101B-9397-08002B2CF9AE}" pid="44" name="DocumentNumber">
    <vt:i4>6449</vt:i4>
  </property>
  <property fmtid="{D5CDD505-2E9C-101B-9397-08002B2CF9AE}" pid="45" name="DocumentVersion">
    <vt:i4>0</vt:i4>
  </property>
  <property fmtid="{D5CDD505-2E9C-101B-9397-08002B2CF9AE}" pid="46" name="DossierNumber">
    <vt:i4>713</vt:i4>
  </property>
  <property fmtid="{D5CDD505-2E9C-101B-9397-08002B2CF9AE}" pid="47" name="DocumentStatus">
    <vt:lpwstr>7;#TRA|150d2a88-1431-44e6-a8ca-0bb753ab8672</vt:lpwstr>
  </property>
  <property fmtid="{D5CDD505-2E9C-101B-9397-08002B2CF9AE}" pid="48" name="DocumentPart">
    <vt:i4>0</vt:i4>
  </property>
  <property fmtid="{D5CDD505-2E9C-101B-9397-08002B2CF9AE}" pid="49" name="DossierName">
    <vt:lpwstr>51;#SOC|13795804-ecbd-4ce5-9693-9b8be1981b20</vt:lpwstr>
  </property>
  <property fmtid="{D5CDD505-2E9C-101B-9397-08002B2CF9AE}" pid="50" name="DocumentSource">
    <vt:lpwstr>1;#EESC|422833ec-8d7e-4e65-8e4e-8bed07ffb729</vt:lpwstr>
  </property>
  <property fmtid="{D5CDD505-2E9C-101B-9397-08002B2CF9AE}" pid="51" name="AdoptionDate">
    <vt:filetime>2022-02-23T12:00:00Z</vt:filetime>
  </property>
  <property fmtid="{D5CDD505-2E9C-101B-9397-08002B2CF9AE}" pid="52" name="DocumentType">
    <vt:lpwstr>86;#AC|a4cc1d15-fb08-4679-ad46-e4e0cba5fe92</vt:lpwstr>
  </property>
  <property fmtid="{D5CDD505-2E9C-101B-9397-08002B2CF9AE}" pid="53" name="RequestingService">
    <vt:lpwstr>Emploi, affaires sociales, citoyenneté</vt:lpwstr>
  </property>
  <property fmtid="{D5CDD505-2E9C-101B-9397-08002B2CF9AE}" pid="54" name="Confidentiality">
    <vt:lpwstr>5;#Unrestricted|826e22d7-d029-4ec0-a450-0c28ff673572</vt:lpwstr>
  </property>
  <property fmtid="{D5CDD505-2E9C-101B-9397-08002B2CF9AE}" pid="55" name="MeetingName_0">
    <vt:lpwstr/>
  </property>
  <property fmtid="{D5CDD505-2E9C-101B-9397-08002B2CF9AE}" pid="56" name="Confidentiality_0">
    <vt:lpwstr>Unrestricted|826e22d7-d029-4ec0-a450-0c28ff673572</vt:lpwstr>
  </property>
  <property fmtid="{D5CDD505-2E9C-101B-9397-08002B2CF9AE}" pid="57" name="OriginalLanguage">
    <vt:lpwstr>9;#EN|f2175f21-25d7-44a3-96da-d6a61b075e1b</vt:lpwstr>
  </property>
  <property fmtid="{D5CDD505-2E9C-101B-9397-08002B2CF9AE}" pid="58" name="MeetingName">
    <vt:lpwstr/>
  </property>
  <property fmtid="{D5CDD505-2E9C-101B-9397-08002B2CF9AE}" pid="60" name="AvailableTranslations_0">
    <vt:lpwstr>DA|5d49c027-8956-412b-aa16-e85a0f96ad0e;PT|50ccc04a-eadd-42ae-a0cb-acaf45f812ba;ES|e7a6b05b-ae16-40c8-add9-68b64b03aeba;EN|f2175f21-25d7-44a3-96da-d6a61b075e1b;SV|c2ed69e7-a339-43d7-8f22-d93680a92aa0</vt:lpwstr>
  </property>
  <property fmtid="{D5CDD505-2E9C-101B-9397-08002B2CF9AE}" pid="61" name="DocumentStatus_0">
    <vt:lpwstr>TRA|150d2a88-1431-44e6-a8ca-0bb753ab8672</vt:lpwstr>
  </property>
  <property fmtid="{D5CDD505-2E9C-101B-9397-08002B2CF9AE}" pid="62" name="OriginalLanguage_0">
    <vt:lpwstr>EN|f2175f21-25d7-44a3-96da-d6a61b075e1b</vt:lpwstr>
  </property>
  <property fmtid="{D5CDD505-2E9C-101B-9397-08002B2CF9AE}" pid="63" name="TaxCatchAll">
    <vt:lpwstr>86;#AC|a4cc1d15-fb08-4679-ad46-e4e0cba5fe92;#40;#SV|c2ed69e7-a339-43d7-8f22-d93680a92aa0;#13;#PT|50ccc04a-eadd-42ae-a0cb-acaf45f812ba;#12;#DA|5d49c027-8956-412b-aa16-e85a0f96ad0e;#28;#ES|e7a6b05b-ae16-40c8-add9-68b64b03aeba;#9;#EN|f2175f21-25d7-44a3-96da-d6a61b075e1b;#7;#TRA|150d2a88-1431-44e6-a8ca-0bb753ab8672;#6;#Final|ea5e6674-7b27-4bac-b091-73adbb394efe;#5;#Unrestricted|826e22d7-d029-4ec0-a450-0c28ff673572;#1;#EESC|422833ec-8d7e-4e65-8e4e-8bed07ffb729;#51;#SOC|13795804-ecbd-4ce5-9693-9b8be1981b20</vt:lpwstr>
  </property>
  <property fmtid="{D5CDD505-2E9C-101B-9397-08002B2CF9AE}" pid="64" name="Rapporteur">
    <vt:lpwstr>TRINDADE &amp; GOBIŅŠ</vt:lpwstr>
  </property>
  <property fmtid="{D5CDD505-2E9C-101B-9397-08002B2CF9AE}" pid="65" name="VersionStatus_0">
    <vt:lpwstr>Final|ea5e6674-7b27-4bac-b091-73adbb394efe</vt:lpwstr>
  </property>
  <property fmtid="{D5CDD505-2E9C-101B-9397-08002B2CF9AE}" pid="66" name="VersionStatus">
    <vt:lpwstr>6;#Final|ea5e6674-7b27-4bac-b091-73adbb394efe</vt:lpwstr>
  </property>
  <property fmtid="{D5CDD505-2E9C-101B-9397-08002B2CF9AE}" pid="67" name="DocumentYear">
    <vt:i4>2021</vt:i4>
  </property>
  <property fmtid="{D5CDD505-2E9C-101B-9397-08002B2CF9AE}" pid="68" name="FicheNumber">
    <vt:i4>2195</vt:i4>
  </property>
  <property fmtid="{D5CDD505-2E9C-101B-9397-08002B2CF9AE}" pid="69" name="DocumentLanguage">
    <vt:lpwstr>37;#EL|6d4f4d51-af9b-4650-94b4-4276bee85c91</vt:lpwstr>
  </property>
  <property fmtid="{D5CDD505-2E9C-101B-9397-08002B2CF9AE}" pid="70" name="_docset_NoMedatataSyncRequired">
    <vt:lpwstr>False</vt:lpwstr>
  </property>
</Properties>
</file>